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581349" w14:textId="77777777" w:rsidR="001D5080" w:rsidRDefault="00C47F13">
      <w:pPr>
        <w:pStyle w:val="Ttulo2"/>
        <w:jc w:val="center"/>
        <w:rPr>
          <w:rFonts w:ascii="Arial" w:eastAsia="Arial" w:hAnsi="Arial" w:cs="Arial"/>
          <w:b/>
          <w:bCs/>
          <w:color w:val="000000"/>
          <w:sz w:val="22"/>
          <w:szCs w:val="22"/>
          <w:highlight w:val="white"/>
        </w:rPr>
      </w:pPr>
      <w:bookmarkStart w:id="0" w:name="_heading=h.63u9xzmkqzvs" w:colFirst="0" w:colLast="0"/>
      <w:bookmarkEnd w:id="0"/>
      <w:r>
        <w:rPr>
          <w:rFonts w:ascii="Arial" w:eastAsia="Arial" w:hAnsi="Arial" w:cs="Arial"/>
          <w:b/>
          <w:bCs/>
          <w:color w:val="000000"/>
          <w:sz w:val="22"/>
          <w:szCs w:val="22"/>
          <w:highlight w:val="white"/>
        </w:rPr>
        <w:t>LA DIRECCIÓN DE INVESTIGACIONES Y CONTROL DE VIVIENDA DE LA SUBSECRETARÍA DE INSPECCIÓN, VIGILANCIA Y CONTROL DE VIVIENDA DE LA SECRETARÍA DISTRITAL DEL HÁBITAT</w:t>
      </w:r>
    </w:p>
    <w:p w14:paraId="7EE8BE18" w14:textId="77777777" w:rsidR="001D5080" w:rsidRDefault="001D5080">
      <w:pPr>
        <w:jc w:val="center"/>
        <w:rPr>
          <w:rFonts w:ascii="Arial" w:eastAsia="Arial" w:hAnsi="Arial" w:cs="Arial"/>
          <w:sz w:val="22"/>
          <w:szCs w:val="22"/>
          <w:highlight w:val="white"/>
        </w:rPr>
      </w:pPr>
      <w:bookmarkStart w:id="1" w:name="_heading=h.tziib8mju948" w:colFirst="0" w:colLast="0"/>
      <w:bookmarkEnd w:id="1"/>
    </w:p>
    <w:p w14:paraId="41D1921C" w14:textId="77777777" w:rsidR="001D5080" w:rsidRDefault="00C47F13">
      <w:pPr>
        <w:jc w:val="center"/>
        <w:rPr>
          <w:rFonts w:ascii="Arial" w:eastAsia="Arial" w:hAnsi="Arial" w:cs="Arial"/>
          <w:sz w:val="22"/>
          <w:szCs w:val="22"/>
          <w:highlight w:val="white"/>
        </w:rPr>
      </w:pPr>
      <w:r>
        <w:rPr>
          <w:rFonts w:ascii="Arial" w:eastAsia="Arial" w:hAnsi="Arial" w:cs="Arial"/>
          <w:sz w:val="22"/>
          <w:szCs w:val="22"/>
          <w:highlight w:val="white"/>
        </w:rPr>
        <w:t>En ejercicio de las atribuciones conferidas por la Ley 66 de 1968, los Decretos Ley 2610 de 1979, 078 de 1987, el Decreto Distrital 653 de 2025, los Acuerdos Distritales 079 de 2003 y 735 de 2019 y demás normas concordantes, y,</w:t>
      </w:r>
    </w:p>
    <w:p w14:paraId="1FDF0B86" w14:textId="77777777" w:rsidR="001D5080" w:rsidRDefault="001D5080">
      <w:pPr>
        <w:jc w:val="center"/>
        <w:rPr>
          <w:rFonts w:ascii="Arial" w:eastAsia="Arial" w:hAnsi="Arial" w:cs="Arial"/>
          <w:sz w:val="22"/>
          <w:szCs w:val="22"/>
          <w:highlight w:val="white"/>
        </w:rPr>
      </w:pPr>
    </w:p>
    <w:p w14:paraId="4AC9D4DE" w14:textId="77777777" w:rsidR="001D5080" w:rsidRDefault="00C47F13">
      <w:pPr>
        <w:jc w:val="center"/>
        <w:rPr>
          <w:rFonts w:ascii="Arial" w:eastAsia="Arial" w:hAnsi="Arial" w:cs="Arial"/>
          <w:b/>
          <w:bCs/>
          <w:sz w:val="22"/>
          <w:szCs w:val="22"/>
          <w:highlight w:val="white"/>
        </w:rPr>
      </w:pPr>
      <w:r>
        <w:rPr>
          <w:rFonts w:ascii="Arial" w:eastAsia="Arial" w:hAnsi="Arial" w:cs="Arial"/>
          <w:b/>
          <w:bCs/>
          <w:sz w:val="22"/>
          <w:szCs w:val="22"/>
          <w:highlight w:val="white"/>
        </w:rPr>
        <w:t>CONSIDERANDO:</w:t>
      </w:r>
    </w:p>
    <w:p w14:paraId="3BF82389" w14:textId="77777777" w:rsidR="001D5080" w:rsidRDefault="001D5080">
      <w:pPr>
        <w:jc w:val="both"/>
        <w:rPr>
          <w:rFonts w:ascii="Arial" w:eastAsia="Arial" w:hAnsi="Arial" w:cs="Arial"/>
          <w:sz w:val="22"/>
          <w:szCs w:val="22"/>
        </w:rPr>
      </w:pPr>
      <w:bookmarkStart w:id="2" w:name="_heading=h.vmq5jlsylcjh" w:colFirst="0" w:colLast="0"/>
      <w:bookmarkEnd w:id="2"/>
    </w:p>
    <w:p w14:paraId="39782546" w14:textId="77777777" w:rsidR="001D5080" w:rsidRDefault="00C47F13">
      <w:pPr>
        <w:spacing w:line="276" w:lineRule="auto"/>
        <w:jc w:val="both"/>
        <w:rPr>
          <w:rFonts w:ascii="Arial" w:eastAsia="Arial" w:hAnsi="Arial" w:cs="Arial"/>
          <w:sz w:val="22"/>
          <w:szCs w:val="22"/>
        </w:rPr>
      </w:pPr>
      <w:r>
        <w:rPr>
          <w:rFonts w:ascii="Arial" w:eastAsia="Arial" w:hAnsi="Arial" w:cs="Arial"/>
          <w:sz w:val="22"/>
          <w:szCs w:val="22"/>
        </w:rPr>
        <w:t>El Despacho adelantó investigación administrativa, debido a la queja con radicado No. 1-2011-11047 del 19 de mayo de 2011 (Fols.3-36), presentada por la señora VIVIAN GOMEZ GALVEZ en su condición de Representante Legal - Administradora del CONJUNTO RESIDENCIAL ALTAVISTA TORRES DE APARTAMENTOS, contra la sociedad OBRAS LTDA. - EN LIQUIDACIÓN, con NIT. 830.073.933-0, representada legalmente por el señor HORACIO OSPINA REYES (o quien haga sus veces), por las deficiencias constructivas existentes en las zonas comunes del citado inmueble, el cual se encuentra ubicado en la Avenida Calle 32 No. 13-52 de esta ciudad.</w:t>
      </w:r>
    </w:p>
    <w:p w14:paraId="513AB47D" w14:textId="77777777" w:rsidR="001D5080" w:rsidRDefault="001D5080">
      <w:pPr>
        <w:ind w:right="-92"/>
        <w:jc w:val="both"/>
        <w:rPr>
          <w:rFonts w:ascii="Arial" w:eastAsia="Arial" w:hAnsi="Arial" w:cs="Arial"/>
          <w:sz w:val="22"/>
          <w:szCs w:val="22"/>
        </w:rPr>
      </w:pPr>
    </w:p>
    <w:p w14:paraId="542AF2E1" w14:textId="77777777" w:rsidR="001D5080" w:rsidRDefault="00C47F13">
      <w:pPr>
        <w:widowControl w:val="0"/>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Que, una vez surtidas las actuaciones procesales pertinentes, esta Dirección mediante Resolución No. 471 del 14 de abril de 2014 "</w:t>
      </w:r>
      <w:r>
        <w:rPr>
          <w:rFonts w:ascii="Arial" w:eastAsia="Arial" w:hAnsi="Arial" w:cs="Arial"/>
          <w:i/>
          <w:iCs/>
          <w:sz w:val="22"/>
          <w:szCs w:val="22"/>
        </w:rPr>
        <w:t>Por la cual se impone una sanción y se imparte una orden</w:t>
      </w:r>
      <w:r>
        <w:rPr>
          <w:rFonts w:ascii="Arial" w:eastAsia="Arial" w:hAnsi="Arial" w:cs="Arial"/>
          <w:sz w:val="22"/>
          <w:szCs w:val="22"/>
        </w:rPr>
        <w:t>", multó a la sociedad OBRAS LTDA. - EN LIQUIDACIÓN, Identificada con NIT. 830.073.933-0 representada legalmente por el señor HORACIO OSPINA REYES (o quien haga sus veces), por valor de DOSCIENTOS CINCUENTA MIL PESOS ($250.000.00) M/CTE que indexados corresponden a TREINTA MILLONES SESENTA Y SIETE MIL VEINTICINCO PESOS ($30.067.025.00) M/CTE.</w:t>
      </w:r>
    </w:p>
    <w:p w14:paraId="0EB488EB" w14:textId="77777777" w:rsidR="001D5080" w:rsidRDefault="001D5080">
      <w:pPr>
        <w:widowControl w:val="0"/>
        <w:pBdr>
          <w:top w:val="nil"/>
          <w:left w:val="nil"/>
          <w:bottom w:val="nil"/>
          <w:right w:val="nil"/>
          <w:between w:val="nil"/>
        </w:pBdr>
        <w:jc w:val="both"/>
        <w:rPr>
          <w:rFonts w:ascii="Arial" w:eastAsia="Arial" w:hAnsi="Arial" w:cs="Arial"/>
          <w:sz w:val="22"/>
          <w:szCs w:val="22"/>
        </w:rPr>
      </w:pPr>
    </w:p>
    <w:p w14:paraId="3EF5576B" w14:textId="77777777" w:rsidR="001D5080" w:rsidRDefault="00C47F13">
      <w:pPr>
        <w:widowControl w:val="0"/>
        <w:pBdr>
          <w:top w:val="nil"/>
          <w:left w:val="nil"/>
          <w:bottom w:val="nil"/>
          <w:right w:val="nil"/>
          <w:between w:val="nil"/>
        </w:pBdr>
        <w:jc w:val="both"/>
        <w:rPr>
          <w:rFonts w:ascii="Arial" w:eastAsia="Arial" w:hAnsi="Arial" w:cs="Arial"/>
          <w:sz w:val="22"/>
          <w:szCs w:val="22"/>
        </w:rPr>
      </w:pPr>
      <w:bookmarkStart w:id="3" w:name="_heading=h.4m4q6b1tjgvg" w:colFirst="0" w:colLast="0"/>
      <w:bookmarkEnd w:id="3"/>
      <w:r>
        <w:rPr>
          <w:rFonts w:ascii="Arial" w:eastAsia="Arial" w:hAnsi="Arial" w:cs="Arial"/>
          <w:sz w:val="22"/>
          <w:szCs w:val="22"/>
        </w:rPr>
        <w:t>Que, en los artículos segundo, tercero y parágrafo primero de la Resolución No. 471 del 14 de abril de 2014, "</w:t>
      </w:r>
      <w:r>
        <w:rPr>
          <w:rFonts w:ascii="Arial" w:eastAsia="Arial" w:hAnsi="Arial" w:cs="Arial"/>
          <w:i/>
          <w:iCs/>
          <w:sz w:val="22"/>
          <w:szCs w:val="22"/>
        </w:rPr>
        <w:t>Por la cual se impone una sanción y se imparte una orden</w:t>
      </w:r>
      <w:r>
        <w:rPr>
          <w:rFonts w:ascii="Arial" w:eastAsia="Arial" w:hAnsi="Arial" w:cs="Arial"/>
          <w:sz w:val="22"/>
          <w:szCs w:val="22"/>
        </w:rPr>
        <w:t xml:space="preserve">", se estableció: </w:t>
      </w:r>
    </w:p>
    <w:p w14:paraId="6527789D" w14:textId="77777777" w:rsidR="001D5080" w:rsidRDefault="00C47F13">
      <w:pPr>
        <w:widowControl w:val="0"/>
        <w:pBdr>
          <w:top w:val="nil"/>
          <w:left w:val="nil"/>
          <w:bottom w:val="nil"/>
          <w:right w:val="nil"/>
          <w:between w:val="nil"/>
        </w:pBdr>
        <w:tabs>
          <w:tab w:val="left" w:pos="6176"/>
        </w:tabs>
        <w:jc w:val="both"/>
        <w:rPr>
          <w:rFonts w:ascii="Arial" w:eastAsia="Arial" w:hAnsi="Arial" w:cs="Arial"/>
          <w:i/>
          <w:iCs/>
          <w:sz w:val="22"/>
          <w:szCs w:val="22"/>
        </w:rPr>
      </w:pPr>
      <w:bookmarkStart w:id="4" w:name="_heading=h.wnglmm1kxwlr" w:colFirst="0" w:colLast="0"/>
      <w:bookmarkEnd w:id="4"/>
      <w:r>
        <w:rPr>
          <w:rFonts w:ascii="Arial" w:eastAsia="Arial" w:hAnsi="Arial" w:cs="Arial"/>
          <w:i/>
          <w:iCs/>
          <w:sz w:val="22"/>
          <w:szCs w:val="22"/>
        </w:rPr>
        <w:tab/>
      </w:r>
    </w:p>
    <w:p w14:paraId="364B0996" w14:textId="77777777" w:rsidR="001D5080" w:rsidRDefault="00C47F13">
      <w:pPr>
        <w:spacing w:line="276" w:lineRule="auto"/>
        <w:ind w:left="720"/>
        <w:jc w:val="both"/>
        <w:rPr>
          <w:rFonts w:ascii="Arial" w:eastAsia="Arial" w:hAnsi="Arial" w:cs="Arial"/>
          <w:i/>
          <w:iCs/>
          <w:sz w:val="22"/>
          <w:szCs w:val="22"/>
        </w:rPr>
      </w:pPr>
      <w:r>
        <w:rPr>
          <w:rFonts w:ascii="Arial" w:eastAsia="Arial" w:hAnsi="Arial" w:cs="Arial"/>
          <w:b/>
          <w:bCs/>
          <w:i/>
          <w:iCs/>
          <w:sz w:val="22"/>
          <w:szCs w:val="22"/>
        </w:rPr>
        <w:t>ARTÍCULO SEGUNDO:</w:t>
      </w:r>
      <w:r>
        <w:rPr>
          <w:rFonts w:ascii="Arial" w:eastAsia="Arial" w:hAnsi="Arial" w:cs="Arial"/>
          <w:i/>
          <w:iCs/>
          <w:sz w:val="22"/>
          <w:szCs w:val="22"/>
        </w:rPr>
        <w:t xml:space="preserve"> Ordenar a la sociedad OBRAS LTDA, que dentro de los tres (3) meses (calendario) siguientes a la ejecutoria del presente acto, se ajuste a las normas transgredidas, solucionando de manera efectiva y suficiente, los hechos correspondientes a: "1.1 Se registraron fisuras en el desarrollo del punto fijo, sobre la superficie de los muros perimetrales, 1.2. En el tercer piso de la torre I, aferente a la escalera que comunica con el parque infantil, se evidencia desprendimiento del pañete del cielo raso, 1.3 El área de la terraza de la torre 1, aferente a las jardineras registran deterioro y desprendimiento del acabado. 1.4 En la terraza de la torre 2, se evidencian grietas en los machones, que generan desprendimiento del material de revestimiento. 1.5 En el área del parque infantil de la torre 2, se evidencia desprendimiento del acabado en sectores puntuales producto de fisuras que </w:t>
      </w:r>
      <w:r>
        <w:rPr>
          <w:rFonts w:ascii="Arial" w:eastAsia="Arial" w:hAnsi="Arial" w:cs="Arial"/>
          <w:i/>
          <w:iCs/>
          <w:sz w:val="22"/>
          <w:szCs w:val="22"/>
        </w:rPr>
        <w:lastRenderedPageBreak/>
        <w:t xml:space="preserve">generan filtraciones... se requiere que el enajenador mediante un profesional especializado en el tema estructural o el ingeniero calculista responsable del estudio estructural del proyecto de vivienda en </w:t>
      </w:r>
      <w:proofErr w:type="gramStart"/>
      <w:r>
        <w:rPr>
          <w:rFonts w:ascii="Arial" w:eastAsia="Arial" w:hAnsi="Arial" w:cs="Arial"/>
          <w:i/>
          <w:iCs/>
          <w:sz w:val="22"/>
          <w:szCs w:val="22"/>
        </w:rPr>
        <w:t>estudio,</w:t>
      </w:r>
      <w:proofErr w:type="gramEnd"/>
      <w:r>
        <w:rPr>
          <w:rFonts w:ascii="Arial" w:eastAsia="Arial" w:hAnsi="Arial" w:cs="Arial"/>
          <w:i/>
          <w:iCs/>
          <w:sz w:val="22"/>
          <w:szCs w:val="22"/>
        </w:rPr>
        <w:t xml:space="preserve"> allegue un documento en el cual exponga si existe o no afectación en la estructura portante de la edificación o en alguno de los elementos que la constituyen. 1.6 La plataforma en la cual se encuentra ubicada la cancha de golfito registra fisuras y desprendimientos del recubrimiento a lo largo de la superficie, estas fisuras generan filtraciones al interior de los parqueaderos. 2. EXTRACTORES. Los equipos destinados para la extracción de olores, ubicados en la cubierta de la edificación registran deterioro producto de oxidación en algunos de los elementos que los componen. 3. FILTRACIONES...se evidenciaron hechos relacionados con filtraciones de humedad que provienen de la plataforma del primer piso, muros de contención y juntas de dilatación. 4.2 La tubería y accesorios que integran la red de suministro de agua potable registran filtraciones y oxidación en sectores puntuales. 6. FACHADAS. La superficie de la fachada se encuentra constituida por ladrillo prensado y pintura sobre pañete, esta última registra manchas, disgregación del acabado y deterioro prematuro de la pintura en sectores puntuales. 8. El punto fijo y las rutas de evacuación de la edificación no cuentan con dispositivos de iluminación de emergencia.", (Cursiva y negrilla fuera de texto) verificados en la visita técnica de fecha 30 de septiembre de 2011, ello en el evento que éstos no se hayan ejecutado al momento de la notificación del presente acto administrativo.</w:t>
      </w:r>
    </w:p>
    <w:p w14:paraId="77BB7E34" w14:textId="77777777" w:rsidR="001D5080" w:rsidRDefault="001D5080">
      <w:pPr>
        <w:spacing w:line="276" w:lineRule="auto"/>
        <w:ind w:left="720"/>
        <w:jc w:val="both"/>
        <w:rPr>
          <w:rFonts w:ascii="Arial" w:eastAsia="Arial" w:hAnsi="Arial" w:cs="Arial"/>
          <w:i/>
          <w:iCs/>
          <w:sz w:val="22"/>
          <w:szCs w:val="22"/>
        </w:rPr>
      </w:pPr>
    </w:p>
    <w:p w14:paraId="6EE5925D" w14:textId="77777777" w:rsidR="001D5080" w:rsidRDefault="00C47F13">
      <w:pPr>
        <w:spacing w:line="276" w:lineRule="auto"/>
        <w:ind w:left="720"/>
        <w:jc w:val="both"/>
        <w:rPr>
          <w:rFonts w:ascii="Arial" w:eastAsia="Arial" w:hAnsi="Arial" w:cs="Arial"/>
          <w:i/>
          <w:iCs/>
          <w:sz w:val="22"/>
          <w:szCs w:val="22"/>
        </w:rPr>
      </w:pPr>
      <w:r>
        <w:rPr>
          <w:rFonts w:ascii="Arial" w:eastAsia="Arial" w:hAnsi="Arial" w:cs="Arial"/>
          <w:b/>
          <w:bCs/>
          <w:i/>
          <w:iCs/>
          <w:sz w:val="22"/>
          <w:szCs w:val="22"/>
        </w:rPr>
        <w:t>ARTÍCULO TERCERO:</w:t>
      </w:r>
      <w:r>
        <w:rPr>
          <w:rFonts w:ascii="Arial" w:eastAsia="Arial" w:hAnsi="Arial" w:cs="Arial"/>
          <w:i/>
          <w:iCs/>
          <w:sz w:val="22"/>
          <w:szCs w:val="22"/>
        </w:rPr>
        <w:t xml:space="preserve"> Ordenar a la sociedad OBRAS LTDA., que dentro de los diez (10) días (hábiles) siguientes al cumplimiento del término dado en el artículo anterior, acredite a este Despacho el cumplimiento de la orden impuesta.</w:t>
      </w:r>
    </w:p>
    <w:p w14:paraId="782CF530" w14:textId="77777777" w:rsidR="001D5080" w:rsidRDefault="001D5080">
      <w:pPr>
        <w:spacing w:line="276" w:lineRule="auto"/>
        <w:ind w:left="720"/>
        <w:jc w:val="both"/>
        <w:rPr>
          <w:rFonts w:ascii="Arial" w:eastAsia="Arial" w:hAnsi="Arial" w:cs="Arial"/>
          <w:i/>
          <w:iCs/>
          <w:sz w:val="22"/>
          <w:szCs w:val="22"/>
        </w:rPr>
      </w:pPr>
    </w:p>
    <w:p w14:paraId="6FC738EE" w14:textId="77777777" w:rsidR="001D5080" w:rsidRDefault="00C47F13">
      <w:pPr>
        <w:spacing w:line="276" w:lineRule="auto"/>
        <w:ind w:left="720"/>
        <w:jc w:val="both"/>
        <w:rPr>
          <w:rFonts w:ascii="Arial" w:eastAsia="Arial" w:hAnsi="Arial" w:cs="Arial"/>
          <w:i/>
          <w:iCs/>
          <w:sz w:val="22"/>
          <w:szCs w:val="22"/>
        </w:rPr>
      </w:pPr>
      <w:r>
        <w:rPr>
          <w:rFonts w:ascii="Arial" w:eastAsia="Arial" w:hAnsi="Arial" w:cs="Arial"/>
          <w:b/>
          <w:bCs/>
          <w:i/>
          <w:iCs/>
          <w:sz w:val="22"/>
          <w:szCs w:val="22"/>
        </w:rPr>
        <w:t>PARÁGRAFO PRIMERO:</w:t>
      </w:r>
      <w:r>
        <w:rPr>
          <w:rFonts w:ascii="Arial" w:eastAsia="Arial" w:hAnsi="Arial" w:cs="Arial"/>
          <w:i/>
          <w:iCs/>
          <w:sz w:val="22"/>
          <w:szCs w:val="22"/>
        </w:rPr>
        <w:t xml:space="preserve"> El incumplimiento a la obligación impuesta en el Artículo Segundo, salvo que los querellantes impidan la realización de las obras ordenadas, situación que deberá poner en conocimiento inmediato a la subdirección de investigaciones, dará lugar a la imposición de sanción, consistente en multa por cuantía que puede oscilar entre DIEZ MIL PESOS ($10.000.00) M/СТЕ у QUINIENTOS MIL PESOS ($500.000.00) M/CTE, por cada seis (6) meses (calendario) de retardo al vencimiento de la fecha establecida para el efecto, de conformidad con lo dispuesto en el Numeral 9 del Artículo 2 del Decreto Ley 078 de 1987, suma que deberá ser tasada e indexada al momento de imponer la sanción, por el incumplimiento de la orden emitida en el presente acto administrativo.</w:t>
      </w:r>
    </w:p>
    <w:p w14:paraId="48E00476" w14:textId="77777777" w:rsidR="001D5080" w:rsidRDefault="001D5080">
      <w:pPr>
        <w:spacing w:line="276" w:lineRule="auto"/>
        <w:jc w:val="both"/>
        <w:rPr>
          <w:rFonts w:ascii="Arial" w:eastAsia="Arial" w:hAnsi="Arial" w:cs="Arial"/>
          <w:b/>
          <w:bCs/>
          <w:i/>
          <w:iCs/>
          <w:sz w:val="22"/>
          <w:szCs w:val="22"/>
        </w:rPr>
      </w:pPr>
    </w:p>
    <w:p w14:paraId="55180266" w14:textId="77777777" w:rsidR="001D5080" w:rsidRDefault="00C47F13">
      <w:pPr>
        <w:spacing w:line="276" w:lineRule="auto"/>
        <w:jc w:val="both"/>
        <w:rPr>
          <w:rFonts w:ascii="Arial" w:eastAsia="Arial" w:hAnsi="Arial" w:cs="Arial"/>
          <w:sz w:val="22"/>
          <w:szCs w:val="22"/>
        </w:rPr>
      </w:pPr>
      <w:r>
        <w:rPr>
          <w:rFonts w:ascii="Arial" w:eastAsia="Arial" w:hAnsi="Arial" w:cs="Arial"/>
          <w:sz w:val="22"/>
          <w:szCs w:val="22"/>
        </w:rPr>
        <w:lastRenderedPageBreak/>
        <w:t>Que, luego de notificada las partes en debida forma, contra la Resolución No. 471 del 14 de abril de 2014, no se interpuso recurso alguno, quedando así debidamente ejecutoriada el día once (11) de julio de dos mil catorce (2014).</w:t>
      </w:r>
    </w:p>
    <w:p w14:paraId="1520F39A" w14:textId="77777777" w:rsidR="001D5080" w:rsidRDefault="001D5080">
      <w:pPr>
        <w:spacing w:line="276" w:lineRule="auto"/>
        <w:jc w:val="both"/>
        <w:rPr>
          <w:rFonts w:ascii="Arial" w:eastAsia="Arial" w:hAnsi="Arial" w:cs="Arial"/>
          <w:sz w:val="22"/>
          <w:szCs w:val="22"/>
        </w:rPr>
      </w:pPr>
    </w:p>
    <w:p w14:paraId="2C2E07AE" w14:textId="77777777" w:rsidR="001D5080" w:rsidRDefault="00C47F13">
      <w:pPr>
        <w:spacing w:line="276" w:lineRule="auto"/>
        <w:jc w:val="both"/>
        <w:rPr>
          <w:rFonts w:ascii="Arial" w:eastAsia="Arial" w:hAnsi="Arial" w:cs="Arial"/>
          <w:sz w:val="22"/>
          <w:szCs w:val="22"/>
        </w:rPr>
      </w:pPr>
      <w:r>
        <w:rPr>
          <w:rFonts w:ascii="Arial" w:eastAsia="Arial" w:hAnsi="Arial" w:cs="Arial"/>
          <w:sz w:val="22"/>
          <w:szCs w:val="22"/>
        </w:rPr>
        <w:t>Que, mediante radicado 2-2014-78996 del 27 de noviembre de 2014 este despacho requiere a la sociedad enajenadora para que dentro de un término de diez (10) días acredita los hechos ordenados en la Resolución No. 471 del 14 de abril de 2014.</w:t>
      </w:r>
    </w:p>
    <w:p w14:paraId="7CE9628B" w14:textId="77777777" w:rsidR="001D5080" w:rsidRDefault="001D5080">
      <w:pPr>
        <w:spacing w:line="276" w:lineRule="auto"/>
        <w:jc w:val="both"/>
        <w:rPr>
          <w:rFonts w:ascii="Arial" w:eastAsia="Arial" w:hAnsi="Arial" w:cs="Arial"/>
          <w:sz w:val="22"/>
          <w:szCs w:val="22"/>
        </w:rPr>
      </w:pPr>
    </w:p>
    <w:p w14:paraId="20766183" w14:textId="77777777" w:rsidR="001D5080" w:rsidRDefault="00C47F13">
      <w:pPr>
        <w:spacing w:line="276" w:lineRule="auto"/>
        <w:jc w:val="both"/>
        <w:rPr>
          <w:rFonts w:ascii="Arial" w:eastAsia="Arial" w:hAnsi="Arial" w:cs="Arial"/>
          <w:sz w:val="22"/>
          <w:szCs w:val="22"/>
        </w:rPr>
      </w:pPr>
      <w:r>
        <w:rPr>
          <w:rFonts w:ascii="Arial" w:eastAsia="Arial" w:hAnsi="Arial" w:cs="Arial"/>
          <w:sz w:val="22"/>
          <w:szCs w:val="22"/>
        </w:rPr>
        <w:t xml:space="preserve">Que, este requerimiento fue respondido por parte de la sociedad enajenados mediante radicado 1-2014-84053 del 17 de diciembre de 2014 informando que no se les notificó debidamente la resolución en cuestión. </w:t>
      </w:r>
    </w:p>
    <w:p w14:paraId="7887B188" w14:textId="77777777" w:rsidR="001D5080" w:rsidRDefault="001D5080">
      <w:pPr>
        <w:spacing w:line="276" w:lineRule="auto"/>
        <w:jc w:val="both"/>
        <w:rPr>
          <w:rFonts w:ascii="Arial" w:eastAsia="Arial" w:hAnsi="Arial" w:cs="Arial"/>
          <w:sz w:val="22"/>
          <w:szCs w:val="22"/>
        </w:rPr>
      </w:pPr>
    </w:p>
    <w:p w14:paraId="08B2B189" w14:textId="77777777" w:rsidR="001D5080" w:rsidRDefault="00C47F13">
      <w:pPr>
        <w:spacing w:line="276" w:lineRule="auto"/>
        <w:jc w:val="both"/>
        <w:rPr>
          <w:rFonts w:ascii="Arial" w:eastAsia="Arial" w:hAnsi="Arial" w:cs="Arial"/>
          <w:sz w:val="22"/>
          <w:szCs w:val="22"/>
        </w:rPr>
      </w:pPr>
      <w:r>
        <w:rPr>
          <w:rFonts w:ascii="Arial" w:eastAsia="Arial" w:hAnsi="Arial" w:cs="Arial"/>
          <w:sz w:val="22"/>
          <w:szCs w:val="22"/>
        </w:rPr>
        <w:t>Que, mediante comunicación Nos. 2-2016-73817, 2-2016-73819 y 2-2016-73822 del 24 de octubre de 2016 este Despacho informa a las partes de la visita de carácter técnico que se llevará a cabo el 16 de noviembre de 2016 con el fin de verificar los hechos ordenados en la Resolución No. 471 del 14 de abril de 2014.</w:t>
      </w:r>
    </w:p>
    <w:p w14:paraId="4A518373" w14:textId="77777777" w:rsidR="001D5080" w:rsidRDefault="001D5080">
      <w:pPr>
        <w:spacing w:line="276" w:lineRule="auto"/>
        <w:jc w:val="both"/>
        <w:rPr>
          <w:rFonts w:ascii="Arial" w:eastAsia="Arial" w:hAnsi="Arial" w:cs="Arial"/>
          <w:sz w:val="22"/>
          <w:szCs w:val="22"/>
        </w:rPr>
      </w:pPr>
    </w:p>
    <w:p w14:paraId="342CB2D6" w14:textId="65887039" w:rsidR="001D5080" w:rsidRDefault="00C47F13">
      <w:pPr>
        <w:spacing w:line="276" w:lineRule="auto"/>
        <w:jc w:val="both"/>
        <w:rPr>
          <w:rFonts w:ascii="Arial" w:eastAsia="Arial" w:hAnsi="Arial" w:cs="Arial"/>
          <w:sz w:val="22"/>
          <w:szCs w:val="22"/>
        </w:rPr>
      </w:pPr>
      <w:r>
        <w:rPr>
          <w:rFonts w:ascii="Arial" w:eastAsia="Arial" w:hAnsi="Arial" w:cs="Arial"/>
          <w:sz w:val="22"/>
          <w:szCs w:val="22"/>
        </w:rPr>
        <w:t xml:space="preserve">Que, de la visita de carácter técnico a la cual no asistió la sociedad enajenadora, se desprende el Informe de Verificación de Hechos No. 16-1221 del 22 de noviembre de 2016 que encontró </w:t>
      </w:r>
      <w:r w:rsidR="00B03F47">
        <w:rPr>
          <w:rFonts w:ascii="Arial" w:eastAsia="Arial" w:hAnsi="Arial" w:cs="Arial"/>
          <w:sz w:val="22"/>
          <w:szCs w:val="22"/>
        </w:rPr>
        <w:t xml:space="preserve">que algunos hechos aún persisten. </w:t>
      </w:r>
      <w:r>
        <w:rPr>
          <w:rFonts w:ascii="Arial" w:eastAsia="Arial" w:hAnsi="Arial" w:cs="Arial"/>
          <w:sz w:val="22"/>
          <w:szCs w:val="22"/>
        </w:rPr>
        <w:t xml:space="preserve"> </w:t>
      </w:r>
    </w:p>
    <w:p w14:paraId="20568B33" w14:textId="77777777" w:rsidR="001D5080" w:rsidRDefault="001D5080">
      <w:pPr>
        <w:spacing w:line="276" w:lineRule="auto"/>
        <w:jc w:val="both"/>
        <w:rPr>
          <w:rFonts w:ascii="Arial" w:eastAsia="Arial" w:hAnsi="Arial" w:cs="Arial"/>
          <w:sz w:val="22"/>
          <w:szCs w:val="22"/>
        </w:rPr>
      </w:pPr>
    </w:p>
    <w:p w14:paraId="3326F2E1" w14:textId="77777777" w:rsidR="001D5080" w:rsidRDefault="00C47F13">
      <w:pPr>
        <w:spacing w:line="276" w:lineRule="auto"/>
        <w:jc w:val="both"/>
        <w:rPr>
          <w:rFonts w:ascii="Arial" w:eastAsia="Arial" w:hAnsi="Arial" w:cs="Arial"/>
          <w:sz w:val="22"/>
          <w:szCs w:val="22"/>
        </w:rPr>
      </w:pPr>
      <w:r>
        <w:rPr>
          <w:rFonts w:ascii="Arial" w:eastAsia="Arial" w:hAnsi="Arial" w:cs="Arial"/>
          <w:sz w:val="22"/>
          <w:szCs w:val="22"/>
        </w:rPr>
        <w:t xml:space="preserve">Que, mediante radicado 2-2017-99951 este despacho procedió a correr traslado de diez (10) días a la sociedad enajenadora, respecto del Informe de Verificación de Hechos No. 16-1221 del 22 de noviembre de 2016. Que, nuevamente a través de radicado 2-2018-14481 del 05 de abril de 2018, se dio traslado al citado informe. Que mediante radicado 1-2018-15902 del 24 de abril de 2018l parte sancionada realizo manifestaciones al traslado del citado informe. </w:t>
      </w:r>
    </w:p>
    <w:p w14:paraId="784062EC" w14:textId="77777777" w:rsidR="001D5080" w:rsidRDefault="001D5080">
      <w:pPr>
        <w:spacing w:line="276" w:lineRule="auto"/>
        <w:jc w:val="both"/>
        <w:rPr>
          <w:rFonts w:ascii="Arial" w:eastAsia="Arial" w:hAnsi="Arial" w:cs="Arial"/>
          <w:sz w:val="22"/>
          <w:szCs w:val="22"/>
        </w:rPr>
      </w:pPr>
    </w:p>
    <w:p w14:paraId="591FF8FC" w14:textId="77777777" w:rsidR="001D5080" w:rsidRDefault="00C47F13">
      <w:pPr>
        <w:spacing w:line="276" w:lineRule="auto"/>
        <w:jc w:val="both"/>
        <w:rPr>
          <w:rFonts w:ascii="Arial" w:eastAsia="Arial" w:hAnsi="Arial" w:cs="Arial"/>
          <w:sz w:val="22"/>
          <w:szCs w:val="22"/>
        </w:rPr>
      </w:pPr>
      <w:r>
        <w:rPr>
          <w:rFonts w:ascii="Arial" w:eastAsia="Arial" w:hAnsi="Arial" w:cs="Arial"/>
          <w:sz w:val="22"/>
          <w:szCs w:val="22"/>
        </w:rPr>
        <w:t>Que, mediante radicados 2-2021-48924 y 2-2021-48926 del 08 de septiembre de 2021, este despacho comunica a las partes de la visita de carácter técnico que se llevará a cabo el 22 de septiembre de 2021, con el fin de verificar los hechos ordenados en la Resolución No. 471 del 14 de abril de 2014. Que, de la visita de carácter técnico se desprende el Informe de Verificación de Hechos No. 21-665 del 23 de noviembre de 2021 que encontró que algunos hechos aún persisten.</w:t>
      </w:r>
    </w:p>
    <w:p w14:paraId="3A9FC220" w14:textId="77777777" w:rsidR="001D5080" w:rsidRDefault="001D5080">
      <w:pPr>
        <w:spacing w:line="276" w:lineRule="auto"/>
        <w:jc w:val="both"/>
        <w:rPr>
          <w:rFonts w:ascii="Arial" w:eastAsia="Arial" w:hAnsi="Arial" w:cs="Arial"/>
          <w:sz w:val="22"/>
          <w:szCs w:val="22"/>
        </w:rPr>
      </w:pPr>
    </w:p>
    <w:p w14:paraId="1DE712A7" w14:textId="77777777" w:rsidR="001D5080" w:rsidRDefault="00C47F13">
      <w:pPr>
        <w:spacing w:line="276" w:lineRule="auto"/>
        <w:jc w:val="both"/>
        <w:rPr>
          <w:rFonts w:ascii="Arial" w:eastAsia="Arial" w:hAnsi="Arial" w:cs="Arial"/>
          <w:sz w:val="22"/>
          <w:szCs w:val="22"/>
        </w:rPr>
      </w:pPr>
      <w:r>
        <w:rPr>
          <w:rFonts w:ascii="Arial" w:eastAsia="Arial" w:hAnsi="Arial" w:cs="Arial"/>
          <w:sz w:val="22"/>
          <w:szCs w:val="22"/>
        </w:rPr>
        <w:t>Que, mediante radicados 2-2022-69630 y 2-2022-69358 del 15 de noviembre de 2022 este despacho corre traslado de diez (10) días a las partes, respecto del Informe de Verificación de Hechos No. 21-665 del 23 de noviembre de 2021.</w:t>
      </w:r>
    </w:p>
    <w:p w14:paraId="44C36004" w14:textId="77777777" w:rsidR="001D5080" w:rsidRDefault="001D5080">
      <w:pPr>
        <w:spacing w:line="276" w:lineRule="auto"/>
        <w:jc w:val="both"/>
        <w:rPr>
          <w:rFonts w:ascii="Arial" w:eastAsia="Arial" w:hAnsi="Arial" w:cs="Arial"/>
          <w:sz w:val="22"/>
          <w:szCs w:val="22"/>
        </w:rPr>
      </w:pPr>
    </w:p>
    <w:p w14:paraId="16476102" w14:textId="77777777" w:rsidR="001D5080" w:rsidRDefault="00C47F13">
      <w:pPr>
        <w:spacing w:line="276" w:lineRule="auto"/>
        <w:jc w:val="both"/>
        <w:rPr>
          <w:rFonts w:ascii="Arial" w:eastAsia="Arial" w:hAnsi="Arial" w:cs="Arial"/>
          <w:sz w:val="22"/>
          <w:szCs w:val="22"/>
        </w:rPr>
      </w:pPr>
      <w:r>
        <w:rPr>
          <w:rFonts w:ascii="Arial" w:eastAsia="Arial" w:hAnsi="Arial" w:cs="Arial"/>
          <w:sz w:val="22"/>
          <w:szCs w:val="22"/>
        </w:rPr>
        <w:lastRenderedPageBreak/>
        <w:t xml:space="preserve">Que, probado el incumplimiento, mediante Resolución No. 316 de 25 de abril de 2023 </w:t>
      </w:r>
      <w:r>
        <w:rPr>
          <w:rFonts w:ascii="Arial" w:eastAsia="Arial" w:hAnsi="Arial" w:cs="Arial"/>
          <w:i/>
          <w:iCs/>
          <w:sz w:val="22"/>
          <w:szCs w:val="22"/>
        </w:rPr>
        <w:t>“Por la cual se impone multa por incumplimiento de una orden”</w:t>
      </w:r>
      <w:r>
        <w:rPr>
          <w:rFonts w:ascii="Arial" w:eastAsia="Arial" w:hAnsi="Arial" w:cs="Arial"/>
          <w:sz w:val="22"/>
          <w:szCs w:val="22"/>
        </w:rPr>
        <w:t xml:space="preserve"> este despacho resuelve: </w:t>
      </w:r>
    </w:p>
    <w:p w14:paraId="4B613E40" w14:textId="77777777" w:rsidR="001D5080" w:rsidRDefault="001D5080">
      <w:pPr>
        <w:spacing w:line="276" w:lineRule="auto"/>
        <w:jc w:val="both"/>
        <w:rPr>
          <w:rFonts w:ascii="Arial" w:eastAsia="Arial" w:hAnsi="Arial" w:cs="Arial"/>
          <w:sz w:val="22"/>
          <w:szCs w:val="22"/>
        </w:rPr>
      </w:pPr>
    </w:p>
    <w:p w14:paraId="6C9E03C0" w14:textId="77777777" w:rsidR="001D5080" w:rsidRDefault="00C47F13">
      <w:pPr>
        <w:spacing w:line="276" w:lineRule="auto"/>
        <w:ind w:left="720"/>
        <w:jc w:val="both"/>
        <w:rPr>
          <w:rFonts w:ascii="Arial" w:eastAsia="Arial" w:hAnsi="Arial" w:cs="Arial"/>
          <w:i/>
          <w:iCs/>
          <w:sz w:val="22"/>
          <w:szCs w:val="22"/>
        </w:rPr>
      </w:pPr>
      <w:r>
        <w:rPr>
          <w:rFonts w:ascii="Arial" w:eastAsia="Arial" w:hAnsi="Arial" w:cs="Arial"/>
          <w:b/>
          <w:bCs/>
          <w:i/>
          <w:iCs/>
          <w:sz w:val="22"/>
          <w:szCs w:val="22"/>
        </w:rPr>
        <w:t>ARTÍCULO PRIMERO:</w:t>
      </w:r>
      <w:r>
        <w:rPr>
          <w:rFonts w:ascii="Arial" w:eastAsia="Arial" w:hAnsi="Arial" w:cs="Arial"/>
          <w:i/>
          <w:iCs/>
          <w:sz w:val="22"/>
          <w:szCs w:val="22"/>
        </w:rPr>
        <w:t xml:space="preserve"> Declárese por cumplido el hecho denominado: "1.1 Se registraron fisuras en el desarrollo del punto fijo, sobre la superficie de los muros perimetrales, 1.2 En el tercer piso de la torre I, aferente a la escalera que comunica con el parque infantil, se evidencia desprendimiento del pañete del cielo raso, 4.2 La tubería y accesorios que integran la red de suministro de agua potable registran filtraciones y oxidación en sectores puntuales, 1.3 El área de la terraza de la torre 1, aferente a las jardineras registran deterioro y desprendimiento del acabado y 2. EXTRACTORES. Los equipos destinados para la extracción de olores, ubicados en la cubierta de la edificación registran deterioro producto de oxidación en algunos de los elementos que los componen", impuesto en el artículo segundo de la Resolución No. 471 del 14 de abril del 2014, a la sociedad OBRAS LTDA., con NIT. 830.073.933-0 y, representada legalmente por el señor HORACIO OSPINA REYES (o quien haga sus veces) de conformidad con lo expuesto en el acto administrativo.</w:t>
      </w:r>
    </w:p>
    <w:p w14:paraId="0502C92D" w14:textId="77777777" w:rsidR="001D5080" w:rsidRDefault="001D5080">
      <w:pPr>
        <w:spacing w:line="276" w:lineRule="auto"/>
        <w:ind w:left="720"/>
        <w:jc w:val="both"/>
        <w:rPr>
          <w:rFonts w:ascii="Arial" w:eastAsia="Arial" w:hAnsi="Arial" w:cs="Arial"/>
          <w:i/>
          <w:iCs/>
          <w:sz w:val="22"/>
          <w:szCs w:val="22"/>
        </w:rPr>
      </w:pPr>
    </w:p>
    <w:p w14:paraId="56EC7087" w14:textId="77777777" w:rsidR="001D5080" w:rsidRDefault="00C47F13">
      <w:pPr>
        <w:spacing w:line="276" w:lineRule="auto"/>
        <w:ind w:left="720"/>
        <w:jc w:val="both"/>
        <w:rPr>
          <w:rFonts w:ascii="Arial" w:eastAsia="Arial" w:hAnsi="Arial" w:cs="Arial"/>
          <w:i/>
          <w:iCs/>
          <w:sz w:val="22"/>
          <w:szCs w:val="22"/>
        </w:rPr>
      </w:pPr>
      <w:r>
        <w:rPr>
          <w:rFonts w:ascii="Arial" w:eastAsia="Arial" w:hAnsi="Arial" w:cs="Arial"/>
          <w:b/>
          <w:bCs/>
          <w:i/>
          <w:iCs/>
          <w:sz w:val="22"/>
          <w:szCs w:val="22"/>
        </w:rPr>
        <w:t>ARTÍCULO SEGUNDO:</w:t>
      </w:r>
      <w:r>
        <w:rPr>
          <w:rFonts w:ascii="Arial" w:eastAsia="Arial" w:hAnsi="Arial" w:cs="Arial"/>
          <w:i/>
          <w:iCs/>
          <w:sz w:val="22"/>
          <w:szCs w:val="22"/>
        </w:rPr>
        <w:t xml:space="preserve"> Imponer a la sociedad OBRAS LTDA., con NIT. 830.073.933-0 y, representada legalmente por el señor HORACIO OSPINA REYES (o quien haga sus veces), multa de ($125.000.00) M/CTE, que indexados corresponden a la suma de VEINTITRÉS MILLONES SEISCIENTOS VEINTITRÉS MIL CIENTO OCHENTA Y OCHO PESOS ($23.623.188) M/CTE., de conformidad con lo señalado en la parte motiva del presente acto administrativo, sin perjuicio a que se impongan multas sucesivas hasta tanto se dé cumplimiento total a la orden emitida por esta Subdirección en la Resolución No. 471 del 14 de abril del 2014 "por la cual se impone una sanción y se imparte una orden", según lo dispuesto en el inciso segundo numeral 9 del artículo 2° del Decreto Ley 078 de 1987.</w:t>
      </w:r>
    </w:p>
    <w:p w14:paraId="47A5D930" w14:textId="77777777" w:rsidR="001D5080" w:rsidRDefault="001D5080">
      <w:pPr>
        <w:spacing w:line="276" w:lineRule="auto"/>
        <w:jc w:val="both"/>
        <w:rPr>
          <w:rFonts w:ascii="Arial" w:eastAsia="Arial" w:hAnsi="Arial" w:cs="Arial"/>
          <w:sz w:val="22"/>
          <w:szCs w:val="22"/>
        </w:rPr>
      </w:pPr>
    </w:p>
    <w:p w14:paraId="4089E0BA" w14:textId="77777777" w:rsidR="001D5080" w:rsidRDefault="00C47F13">
      <w:pPr>
        <w:spacing w:line="276" w:lineRule="auto"/>
        <w:jc w:val="both"/>
        <w:rPr>
          <w:rFonts w:ascii="Arial" w:eastAsia="Arial" w:hAnsi="Arial" w:cs="Arial"/>
          <w:sz w:val="22"/>
          <w:szCs w:val="22"/>
        </w:rPr>
      </w:pPr>
      <w:r>
        <w:rPr>
          <w:rFonts w:ascii="Arial" w:eastAsia="Arial" w:hAnsi="Arial" w:cs="Arial"/>
          <w:sz w:val="22"/>
          <w:szCs w:val="22"/>
        </w:rPr>
        <w:t>Que, luego de notificado en debida forma las partes, contra la Resolución No. 316 de 25 de abril de 2023, no se interpuso recurso alguno, quedando así debidamente ejecutoriada el día nueve (09) de junio de 2023.</w:t>
      </w:r>
    </w:p>
    <w:p w14:paraId="047F14B1" w14:textId="77777777" w:rsidR="001D5080" w:rsidRDefault="001D5080">
      <w:pPr>
        <w:spacing w:line="276" w:lineRule="auto"/>
        <w:jc w:val="both"/>
        <w:rPr>
          <w:rFonts w:ascii="Arial" w:eastAsia="Arial" w:hAnsi="Arial" w:cs="Arial"/>
          <w:sz w:val="22"/>
          <w:szCs w:val="22"/>
        </w:rPr>
      </w:pPr>
    </w:p>
    <w:p w14:paraId="1A498AF7" w14:textId="77777777" w:rsidR="001D5080" w:rsidRDefault="00C47F13">
      <w:pPr>
        <w:spacing w:line="276" w:lineRule="auto"/>
        <w:jc w:val="both"/>
        <w:rPr>
          <w:rFonts w:ascii="Arial" w:eastAsia="Arial" w:hAnsi="Arial" w:cs="Arial"/>
          <w:sz w:val="22"/>
          <w:szCs w:val="22"/>
        </w:rPr>
      </w:pPr>
      <w:r>
        <w:rPr>
          <w:rFonts w:ascii="Arial" w:eastAsia="Arial" w:hAnsi="Arial" w:cs="Arial"/>
          <w:sz w:val="22"/>
          <w:szCs w:val="22"/>
        </w:rPr>
        <w:t>Que, mediante radicados 2-2024-48505 y 2-2024-48512 del 21 de octubre de 2024 este Despacho requirió a las partes para que dentro de un término de quince (15) días acreditaran el cumplimiento de las obligaciones ordenadas en la Resolución No. 471 del 14 de abril de 2014.</w:t>
      </w:r>
    </w:p>
    <w:p w14:paraId="1264F635" w14:textId="77777777" w:rsidR="001D5080" w:rsidRDefault="001D5080">
      <w:pPr>
        <w:spacing w:line="276" w:lineRule="auto"/>
        <w:jc w:val="both"/>
        <w:rPr>
          <w:rFonts w:ascii="Arial" w:eastAsia="Arial" w:hAnsi="Arial" w:cs="Arial"/>
          <w:sz w:val="22"/>
          <w:szCs w:val="22"/>
        </w:rPr>
      </w:pPr>
    </w:p>
    <w:p w14:paraId="464605E0" w14:textId="77777777" w:rsidR="001D5080" w:rsidRDefault="00C47F13">
      <w:pPr>
        <w:spacing w:line="276" w:lineRule="auto"/>
        <w:jc w:val="both"/>
        <w:rPr>
          <w:rFonts w:ascii="Arial" w:eastAsia="Arial" w:hAnsi="Arial" w:cs="Arial"/>
          <w:sz w:val="22"/>
          <w:szCs w:val="22"/>
        </w:rPr>
      </w:pPr>
      <w:r>
        <w:rPr>
          <w:rFonts w:ascii="Arial" w:eastAsia="Arial" w:hAnsi="Arial" w:cs="Arial"/>
          <w:sz w:val="22"/>
          <w:szCs w:val="22"/>
        </w:rPr>
        <w:lastRenderedPageBreak/>
        <w:t xml:space="preserve">Que, dicho requerimiento fue atendido por el quejoso mediante de radicado 1-2024-39862 de 31 de octubre de 2024, a través del cual manifestó que a la fecha persiste el incumplimiento de subsanación. </w:t>
      </w:r>
    </w:p>
    <w:p w14:paraId="075C4C2D" w14:textId="77777777" w:rsidR="001D5080" w:rsidRDefault="001D5080">
      <w:pPr>
        <w:ind w:right="-92"/>
        <w:jc w:val="both"/>
        <w:rPr>
          <w:rFonts w:ascii="Arial" w:eastAsia="Arial" w:hAnsi="Arial" w:cs="Arial"/>
          <w:sz w:val="22"/>
          <w:szCs w:val="22"/>
        </w:rPr>
      </w:pPr>
    </w:p>
    <w:p w14:paraId="7AE3201A" w14:textId="77777777" w:rsidR="001D5080" w:rsidRDefault="00C47F13">
      <w:pPr>
        <w:ind w:right="-92"/>
        <w:jc w:val="both"/>
        <w:rPr>
          <w:rFonts w:ascii="Arial" w:eastAsia="Arial" w:hAnsi="Arial" w:cs="Arial"/>
          <w:sz w:val="22"/>
          <w:szCs w:val="22"/>
        </w:rPr>
      </w:pPr>
      <w:r>
        <w:rPr>
          <w:rFonts w:ascii="Arial" w:eastAsia="Arial" w:hAnsi="Arial" w:cs="Arial"/>
          <w:sz w:val="22"/>
          <w:szCs w:val="22"/>
        </w:rPr>
        <w:t>En razón a lo aquí expuesto, este Despacho procederá a determinar si resulta procedente la imposición de multas sucesivas ante la carencia de acreditación del cumplimiento de las órdenes de hacer impuestas mediante Resolución No. 352 del 28 de agosto de 2020, de conformidad a lo expuesto en el inciso segundo, numeral 9° del artículo 2° del Decreto Ley 078 de 1987.</w:t>
      </w:r>
    </w:p>
    <w:p w14:paraId="765389C4" w14:textId="77777777" w:rsidR="001D5080" w:rsidRDefault="001D5080">
      <w:pPr>
        <w:pBdr>
          <w:top w:val="nil"/>
          <w:left w:val="nil"/>
          <w:bottom w:val="nil"/>
          <w:right w:val="nil"/>
          <w:between w:val="nil"/>
        </w:pBdr>
        <w:ind w:left="-284" w:right="-92"/>
        <w:jc w:val="center"/>
        <w:rPr>
          <w:rFonts w:ascii="Arial" w:eastAsia="Arial" w:hAnsi="Arial" w:cs="Arial"/>
          <w:b/>
          <w:bCs/>
          <w:sz w:val="22"/>
          <w:szCs w:val="22"/>
        </w:rPr>
      </w:pPr>
    </w:p>
    <w:p w14:paraId="7DD91C03" w14:textId="77777777" w:rsidR="001D5080" w:rsidRDefault="00C47F13">
      <w:pPr>
        <w:pBdr>
          <w:top w:val="nil"/>
          <w:left w:val="nil"/>
          <w:bottom w:val="nil"/>
          <w:right w:val="nil"/>
          <w:between w:val="nil"/>
        </w:pBdr>
        <w:ind w:left="-284" w:right="-92"/>
        <w:jc w:val="center"/>
        <w:rPr>
          <w:rFonts w:ascii="Arial" w:eastAsia="Arial" w:hAnsi="Arial" w:cs="Arial"/>
          <w:b/>
          <w:bCs/>
          <w:sz w:val="22"/>
          <w:szCs w:val="22"/>
        </w:rPr>
      </w:pPr>
      <w:r>
        <w:rPr>
          <w:rFonts w:ascii="Arial" w:eastAsia="Arial" w:hAnsi="Arial" w:cs="Arial"/>
          <w:b/>
          <w:bCs/>
          <w:sz w:val="22"/>
          <w:szCs w:val="22"/>
        </w:rPr>
        <w:t>CONSIDERACIONES DEL DESPACHO</w:t>
      </w:r>
    </w:p>
    <w:p w14:paraId="0D148A04" w14:textId="77777777" w:rsidR="001D5080" w:rsidRDefault="001D5080">
      <w:pPr>
        <w:pBdr>
          <w:top w:val="nil"/>
          <w:left w:val="nil"/>
          <w:bottom w:val="nil"/>
          <w:right w:val="nil"/>
          <w:between w:val="nil"/>
        </w:pBdr>
        <w:ind w:left="-284" w:right="-92"/>
        <w:jc w:val="center"/>
        <w:rPr>
          <w:rFonts w:ascii="Arial" w:eastAsia="Arial" w:hAnsi="Arial" w:cs="Arial"/>
          <w:b/>
          <w:bCs/>
          <w:sz w:val="22"/>
          <w:szCs w:val="22"/>
        </w:rPr>
      </w:pPr>
    </w:p>
    <w:p w14:paraId="67FF76B8" w14:textId="77777777" w:rsidR="001D5080" w:rsidRDefault="00C47F13">
      <w:pPr>
        <w:ind w:right="-92"/>
        <w:jc w:val="both"/>
        <w:rPr>
          <w:rFonts w:ascii="Arial" w:eastAsia="Arial" w:hAnsi="Arial" w:cs="Arial"/>
          <w:sz w:val="22"/>
          <w:szCs w:val="22"/>
        </w:rPr>
      </w:pPr>
      <w:r>
        <w:rPr>
          <w:rFonts w:ascii="Arial" w:eastAsia="Arial" w:hAnsi="Arial" w:cs="Arial"/>
          <w:sz w:val="22"/>
          <w:szCs w:val="22"/>
        </w:rPr>
        <w:t>Debe esta Dirección partir de que la función de inspección, vigilancia y control sobre la actividad de enajenación de inmuebles destinados a vivienda, de conformidad con las Leyes 66 de 1968, 388 de 1997, Decretos Leyes 2610 de 1979, 078 de 1987 y demás normas concordantes, se ejerce sobre las personas naturales o jurídicas que desarrollen la actividad de enajenación de vivienda en el Distrito, con el propósito de resguardar el orden social y amparar la observancia de la ley.</w:t>
      </w:r>
    </w:p>
    <w:p w14:paraId="4E7A64AF" w14:textId="77777777" w:rsidR="001D5080" w:rsidRDefault="001D5080">
      <w:pPr>
        <w:ind w:right="-92"/>
        <w:jc w:val="both"/>
        <w:rPr>
          <w:rFonts w:ascii="Arial" w:eastAsia="Arial" w:hAnsi="Arial" w:cs="Arial"/>
          <w:sz w:val="22"/>
          <w:szCs w:val="22"/>
        </w:rPr>
      </w:pPr>
    </w:p>
    <w:p w14:paraId="4875605F" w14:textId="77777777" w:rsidR="001D5080" w:rsidRDefault="00C47F13">
      <w:pPr>
        <w:jc w:val="both"/>
        <w:rPr>
          <w:rFonts w:ascii="Arial" w:eastAsia="Arial" w:hAnsi="Arial" w:cs="Arial"/>
          <w:sz w:val="22"/>
          <w:szCs w:val="22"/>
        </w:rPr>
      </w:pPr>
      <w:r>
        <w:rPr>
          <w:rFonts w:ascii="Arial" w:eastAsia="Arial" w:hAnsi="Arial" w:cs="Arial"/>
          <w:sz w:val="22"/>
          <w:szCs w:val="22"/>
        </w:rPr>
        <w:t>Bajo este entendido, el artículo 111 del Decreto 653 de 2025 establece que los hechos relacionados con la existencia de deficiencias constructivas o el desmejoramiento de especificaciones técnicas deberán sancionarse por la Subsecretaría de Inspección, Vigilancia y Control de Vivienda, o por la autoridad que haga sus veces; motivo por el cual, en ejercicio de dichas funciones esta Entidad procedió a imponer sanción mediante Resolución No. 471 del 14 de abril de 2014,  “</w:t>
      </w:r>
      <w:r>
        <w:rPr>
          <w:rFonts w:ascii="Arial" w:eastAsia="Arial" w:hAnsi="Arial" w:cs="Arial"/>
          <w:i/>
          <w:iCs/>
          <w:sz w:val="22"/>
          <w:szCs w:val="22"/>
        </w:rPr>
        <w:t>Por la cual se impone una sanción y se imparte una orden</w:t>
      </w:r>
      <w:r>
        <w:rPr>
          <w:rFonts w:ascii="Arial" w:eastAsia="Arial" w:hAnsi="Arial" w:cs="Arial"/>
          <w:sz w:val="22"/>
          <w:szCs w:val="22"/>
        </w:rPr>
        <w:t>”, a la sociedad enajenadora OBRAS LTDA. - EN LIQUIDACIÓN cual debía ser cumplida dentro del plazo fijado contado a partir de la ejecutoria de esta.</w:t>
      </w:r>
    </w:p>
    <w:p w14:paraId="59FEEB56" w14:textId="77777777" w:rsidR="001D5080" w:rsidRDefault="001D5080">
      <w:pPr>
        <w:ind w:right="-92"/>
        <w:jc w:val="both"/>
        <w:rPr>
          <w:rFonts w:ascii="Arial" w:eastAsia="Arial" w:hAnsi="Arial" w:cs="Arial"/>
          <w:sz w:val="22"/>
          <w:szCs w:val="22"/>
        </w:rPr>
      </w:pPr>
    </w:p>
    <w:p w14:paraId="23971F61" w14:textId="77777777" w:rsidR="001D5080" w:rsidRDefault="00C47F13">
      <w:pPr>
        <w:ind w:right="-92"/>
        <w:jc w:val="both"/>
        <w:rPr>
          <w:rFonts w:ascii="Arial" w:eastAsia="Arial" w:hAnsi="Arial" w:cs="Arial"/>
          <w:sz w:val="22"/>
          <w:szCs w:val="22"/>
        </w:rPr>
      </w:pPr>
      <w:r>
        <w:rPr>
          <w:rFonts w:ascii="Arial" w:eastAsia="Arial" w:hAnsi="Arial" w:cs="Arial"/>
          <w:sz w:val="22"/>
          <w:szCs w:val="22"/>
        </w:rPr>
        <w:t>Ahora bien, el artículo 126 del Decreto 653 de 2025 señala que una vez ejecutoriada la actuación que imponga una orden a los enajenadores responsables del proyecto de vivienda, y superado el término dispuesto para su cumplimiento, se adelantará el SEGUIMIENTO A LA ORDEN para corroborar el cumplimiento del acto administrativo que la impuso.</w:t>
      </w:r>
    </w:p>
    <w:p w14:paraId="779B9D9B" w14:textId="77777777" w:rsidR="001D5080" w:rsidRDefault="001D5080">
      <w:pPr>
        <w:ind w:right="-92"/>
        <w:jc w:val="both"/>
        <w:rPr>
          <w:rFonts w:ascii="Arial" w:eastAsia="Arial" w:hAnsi="Arial" w:cs="Arial"/>
          <w:sz w:val="22"/>
          <w:szCs w:val="22"/>
        </w:rPr>
      </w:pPr>
    </w:p>
    <w:p w14:paraId="27FA4D8E" w14:textId="77777777" w:rsidR="001D5080" w:rsidRDefault="00C47F13">
      <w:pPr>
        <w:pBdr>
          <w:top w:val="nil"/>
          <w:left w:val="nil"/>
          <w:bottom w:val="nil"/>
          <w:right w:val="nil"/>
          <w:between w:val="nil"/>
        </w:pBdr>
        <w:ind w:right="-92"/>
        <w:jc w:val="both"/>
        <w:rPr>
          <w:rFonts w:ascii="Arial" w:eastAsia="Arial" w:hAnsi="Arial" w:cs="Arial"/>
          <w:sz w:val="22"/>
          <w:szCs w:val="22"/>
        </w:rPr>
      </w:pPr>
      <w:r>
        <w:rPr>
          <w:rFonts w:ascii="Arial" w:eastAsia="Arial" w:hAnsi="Arial" w:cs="Arial"/>
          <w:sz w:val="22"/>
          <w:szCs w:val="22"/>
        </w:rPr>
        <w:t xml:space="preserve">Visto lo anterior, el artículo 2, numeral 9 del Decreto Nacional 078 de 1987, en concordancia con el artículo 28 de la ley 66 de 1968, modificado por el artículo 11 del Decreto Ley 2610 de 1979, establece la imposición de multas sucesivas de diez mil pesos ($10.000.oo) a quinientos mil pesos ($500.000.oo) M/cte., a las personas o entidades que </w:t>
      </w:r>
      <w:r>
        <w:rPr>
          <w:rFonts w:ascii="Arial" w:eastAsia="Arial" w:hAnsi="Arial" w:cs="Arial"/>
          <w:b/>
          <w:bCs/>
          <w:sz w:val="22"/>
          <w:szCs w:val="22"/>
          <w:u w:val="single"/>
        </w:rPr>
        <w:t>incumplan las órdenes</w:t>
      </w:r>
      <w:r>
        <w:rPr>
          <w:rFonts w:ascii="Arial" w:eastAsia="Arial" w:hAnsi="Arial" w:cs="Arial"/>
          <w:sz w:val="22"/>
          <w:szCs w:val="22"/>
        </w:rPr>
        <w:t xml:space="preserve"> o requerimientos que en uso de las facultades de inspección y vigilancia expida la autoridad de vivienda, para que se sujeten a las normas exigidas por las autoridades nacionales, departamentales, metropolitanas, municipales y distritales y/o para que se ajusten a las prescripciones de la Ley 66 de 1968. </w:t>
      </w:r>
    </w:p>
    <w:p w14:paraId="487DF902" w14:textId="77777777" w:rsidR="001D5080" w:rsidRDefault="001D5080">
      <w:pPr>
        <w:pBdr>
          <w:top w:val="nil"/>
          <w:left w:val="nil"/>
          <w:bottom w:val="nil"/>
          <w:right w:val="nil"/>
          <w:between w:val="nil"/>
        </w:pBdr>
        <w:ind w:left="720" w:right="-92"/>
        <w:jc w:val="both"/>
        <w:rPr>
          <w:rFonts w:ascii="Arial" w:eastAsia="Arial" w:hAnsi="Arial" w:cs="Arial"/>
          <w:sz w:val="22"/>
          <w:szCs w:val="22"/>
        </w:rPr>
      </w:pPr>
    </w:p>
    <w:p w14:paraId="23C692F3" w14:textId="77777777" w:rsidR="001D5080" w:rsidRDefault="00C47F13">
      <w:pPr>
        <w:jc w:val="both"/>
        <w:rPr>
          <w:rFonts w:ascii="Arial" w:eastAsia="Arial" w:hAnsi="Arial" w:cs="Arial"/>
          <w:sz w:val="22"/>
          <w:szCs w:val="22"/>
        </w:rPr>
      </w:pPr>
      <w:bookmarkStart w:id="5" w:name="_heading=h.1t3h5sf" w:colFirst="0" w:colLast="0"/>
      <w:bookmarkEnd w:id="5"/>
      <w:r>
        <w:rPr>
          <w:rFonts w:ascii="Arial" w:eastAsia="Arial" w:hAnsi="Arial" w:cs="Arial"/>
          <w:sz w:val="22"/>
          <w:szCs w:val="22"/>
        </w:rPr>
        <w:t xml:space="preserve">En concordancia con lo expresado, procede este Despacho a realizar el estudio de las actuaciones adelantadas, así como de los elementos probatorios recaudados por esta </w:t>
      </w:r>
      <w:r>
        <w:rPr>
          <w:rFonts w:ascii="Arial" w:eastAsia="Arial" w:hAnsi="Arial" w:cs="Arial"/>
          <w:sz w:val="22"/>
          <w:szCs w:val="22"/>
        </w:rPr>
        <w:lastRenderedPageBreak/>
        <w:t>Dirección, sobre los hechos objeto de las órdenes hacer referentes a la Resolución No. 471 del 14 de abril de 2014, “</w:t>
      </w:r>
      <w:r>
        <w:rPr>
          <w:rFonts w:ascii="Arial" w:eastAsia="Arial" w:hAnsi="Arial" w:cs="Arial"/>
          <w:i/>
          <w:iCs/>
          <w:sz w:val="22"/>
          <w:szCs w:val="22"/>
        </w:rPr>
        <w:t>Por la cual se impone una sanción y se imparte una orden</w:t>
      </w:r>
      <w:r>
        <w:rPr>
          <w:rFonts w:ascii="Arial" w:eastAsia="Arial" w:hAnsi="Arial" w:cs="Arial"/>
          <w:sz w:val="22"/>
          <w:szCs w:val="22"/>
        </w:rPr>
        <w:t>”.</w:t>
      </w:r>
    </w:p>
    <w:p w14:paraId="14004A39" w14:textId="77777777" w:rsidR="001D5080" w:rsidRDefault="001D5080">
      <w:pPr>
        <w:jc w:val="both"/>
        <w:rPr>
          <w:rFonts w:ascii="Arial" w:eastAsia="Arial" w:hAnsi="Arial" w:cs="Arial"/>
          <w:sz w:val="22"/>
          <w:szCs w:val="22"/>
        </w:rPr>
      </w:pPr>
    </w:p>
    <w:p w14:paraId="6A2C2D4B" w14:textId="77777777" w:rsidR="001D5080" w:rsidRDefault="00C47F13">
      <w:pPr>
        <w:widowControl w:val="0"/>
        <w:jc w:val="center"/>
        <w:rPr>
          <w:rFonts w:ascii="Arial" w:eastAsia="Arial" w:hAnsi="Arial" w:cs="Arial"/>
          <w:b/>
          <w:bCs/>
          <w:sz w:val="22"/>
          <w:szCs w:val="22"/>
        </w:rPr>
      </w:pPr>
      <w:r>
        <w:rPr>
          <w:rFonts w:ascii="Arial" w:eastAsia="Arial" w:hAnsi="Arial" w:cs="Arial"/>
          <w:b/>
          <w:bCs/>
          <w:sz w:val="22"/>
          <w:szCs w:val="22"/>
        </w:rPr>
        <w:t>ANÁLISIS PROBATORIO</w:t>
      </w:r>
    </w:p>
    <w:p w14:paraId="3BD2861D" w14:textId="77777777" w:rsidR="001D5080" w:rsidRDefault="001D5080">
      <w:pPr>
        <w:ind w:right="50"/>
        <w:jc w:val="both"/>
        <w:rPr>
          <w:rFonts w:ascii="Arial" w:eastAsia="Arial" w:hAnsi="Arial" w:cs="Arial"/>
          <w:sz w:val="22"/>
          <w:szCs w:val="22"/>
        </w:rPr>
      </w:pPr>
    </w:p>
    <w:p w14:paraId="166FE7A5" w14:textId="77777777" w:rsidR="001D5080" w:rsidRDefault="00C47F13">
      <w:pPr>
        <w:ind w:right="50"/>
        <w:jc w:val="both"/>
        <w:rPr>
          <w:rFonts w:ascii="Arial" w:eastAsia="Arial" w:hAnsi="Arial" w:cs="Arial"/>
          <w:sz w:val="22"/>
          <w:szCs w:val="22"/>
        </w:rPr>
      </w:pPr>
      <w:r>
        <w:rPr>
          <w:rFonts w:ascii="Arial" w:eastAsia="Arial" w:hAnsi="Arial" w:cs="Arial"/>
          <w:sz w:val="22"/>
          <w:szCs w:val="22"/>
        </w:rPr>
        <w:t>Dentro de la actuación administrativa y las pruebas que reposan en el expediente, se tiene que la sociedad enajenadora OBRAS LTDA. - EN LIQUIDACIÒN, contaba con un término de tres (3) en, para realizar los trabajos tendientes a solucionar en forma definitiva los hechos que afectan las</w:t>
      </w:r>
      <w:r>
        <w:rPr>
          <w:rFonts w:ascii="Arial" w:eastAsia="Arial" w:hAnsi="Arial" w:cs="Arial"/>
          <w:color w:val="FF9900"/>
          <w:sz w:val="22"/>
          <w:szCs w:val="22"/>
        </w:rPr>
        <w:t xml:space="preserve"> </w:t>
      </w:r>
      <w:r>
        <w:rPr>
          <w:rFonts w:ascii="Arial" w:eastAsia="Arial" w:hAnsi="Arial" w:cs="Arial"/>
          <w:sz w:val="22"/>
          <w:szCs w:val="22"/>
        </w:rPr>
        <w:t>áreas comunes del proyecto de vivienda CONJUNTO RESIDENCIAL ALTAVISTA TORRES DE APARTAMENTOS.</w:t>
      </w:r>
    </w:p>
    <w:p w14:paraId="5E166800" w14:textId="77777777" w:rsidR="001D5080" w:rsidRDefault="001D5080">
      <w:pPr>
        <w:ind w:right="50"/>
        <w:jc w:val="both"/>
        <w:rPr>
          <w:rFonts w:ascii="Arial" w:eastAsia="Arial" w:hAnsi="Arial" w:cs="Arial"/>
          <w:sz w:val="22"/>
          <w:szCs w:val="22"/>
        </w:rPr>
      </w:pPr>
    </w:p>
    <w:p w14:paraId="1CA0B7A5" w14:textId="77777777" w:rsidR="001D5080" w:rsidRDefault="00C47F13">
      <w:pPr>
        <w:jc w:val="both"/>
        <w:rPr>
          <w:rFonts w:ascii="Arial" w:eastAsia="Arial" w:hAnsi="Arial" w:cs="Arial"/>
          <w:sz w:val="22"/>
          <w:szCs w:val="22"/>
        </w:rPr>
      </w:pPr>
      <w:r>
        <w:rPr>
          <w:rFonts w:ascii="Arial" w:eastAsia="Arial" w:hAnsi="Arial" w:cs="Arial"/>
          <w:sz w:val="22"/>
          <w:szCs w:val="22"/>
        </w:rPr>
        <w:t>Así mismo, se tiene que la sociedad enajenadora tenía un plazo de 10 días, siguientes al cumplimiento del término otorgado para el cumplimiento de la orden de hacer, para acreditar ante este Despacho la realización de las labores de corrección sobre los citados hechos, tal como lo dispone el artículo tercero de la Resolución No. 471 del 14 de abril de 2014.</w:t>
      </w:r>
    </w:p>
    <w:p w14:paraId="5CB20124" w14:textId="77777777" w:rsidR="001D5080" w:rsidRDefault="00C47F13">
      <w:pPr>
        <w:spacing w:before="240" w:after="240"/>
        <w:jc w:val="both"/>
        <w:rPr>
          <w:rFonts w:ascii="Arial" w:eastAsia="Arial" w:hAnsi="Arial" w:cs="Arial"/>
          <w:sz w:val="22"/>
          <w:szCs w:val="22"/>
        </w:rPr>
      </w:pPr>
      <w:r>
        <w:rPr>
          <w:rFonts w:ascii="Arial" w:eastAsia="Arial" w:hAnsi="Arial" w:cs="Arial"/>
          <w:sz w:val="22"/>
          <w:szCs w:val="22"/>
        </w:rPr>
        <w:t>Del análisis del material probatorio en el expediente, este Despacho advierte que, si bien a través del Informe de Verificación de Hechos No. 25-500 del 21 de octubre de 2025 se evidencian intervenciones de la copropiedad sobre algunos de los hallazgos urgentes de subsanar, lo cierto es que persisten múltiples deficiencias constructivas, entre otras, con filtraciones, deterioro de fachadas, fallas en extractores y ausencia de dispositivos de emergencia, las cuales no han sido subsanadas. Tampoco se evidencia un interés por cumplir las obras pendientes por parte de la sociedad enajenadora.</w:t>
      </w:r>
    </w:p>
    <w:p w14:paraId="33E2B7DE" w14:textId="77777777" w:rsidR="001D5080" w:rsidRDefault="00C47F13">
      <w:pPr>
        <w:spacing w:before="240" w:after="240"/>
        <w:jc w:val="both"/>
        <w:rPr>
          <w:rFonts w:ascii="Arial" w:eastAsia="Arial" w:hAnsi="Arial" w:cs="Arial"/>
          <w:sz w:val="22"/>
          <w:szCs w:val="22"/>
        </w:rPr>
      </w:pPr>
      <w:r>
        <w:rPr>
          <w:rFonts w:ascii="Arial" w:eastAsia="Arial" w:hAnsi="Arial" w:cs="Arial"/>
          <w:sz w:val="22"/>
          <w:szCs w:val="22"/>
        </w:rPr>
        <w:t>No obstante, más allá del resultado técnico consignado en el citado informe, se tiene que el fundamento de la imposición de medidas sancionatorias radica en el incumplimiento y silencio de los requerimientos efectuados por esta autoridad mediante radicados No. 2-2017-99951 y 2-2018-14481 se corrió traslado inicial de los hallazgos a la sociedad enajenadora, y posteriormente, mediante radicados No. 2-2022-69358 y 2-2022-69630, se reiteró dicho traslado frente a nuevos resultados de verificación, otorgando oportunidades para la subsanación.</w:t>
      </w:r>
    </w:p>
    <w:p w14:paraId="1BB487CF" w14:textId="77777777" w:rsidR="001D5080" w:rsidRDefault="00C47F13">
      <w:pPr>
        <w:spacing w:before="240" w:after="240"/>
        <w:jc w:val="both"/>
        <w:rPr>
          <w:rFonts w:ascii="Arial" w:eastAsia="Arial" w:hAnsi="Arial" w:cs="Arial"/>
          <w:sz w:val="22"/>
          <w:szCs w:val="22"/>
        </w:rPr>
      </w:pPr>
      <w:r>
        <w:rPr>
          <w:rFonts w:ascii="Arial" w:eastAsia="Arial" w:hAnsi="Arial" w:cs="Arial"/>
          <w:sz w:val="22"/>
          <w:szCs w:val="22"/>
        </w:rPr>
        <w:t>Adicionalmente, una vez impuesta la sanción por incumplimiento de la orden mediante Resolución No. 316 del 25 de abril de 2023, ejecutoriada el 09 de junio de 2023, este Despacho requirió nuevamente el cumplimiento de las obligaciones pendientes mediante radicados No. 2-2024-48505 y 2-2024-48512 del 21 de octubre de 2024, sin que a la fecha se haya acreditado su cumplimiento integral, conforme a lo manifestado por la parte quejosa en radicado No. 1-2024-39862 del 31 de octubre de 2024.</w:t>
      </w:r>
    </w:p>
    <w:p w14:paraId="77CAC09A" w14:textId="77777777" w:rsidR="001D5080" w:rsidRDefault="00C47F13">
      <w:pPr>
        <w:ind w:right="-92"/>
        <w:jc w:val="both"/>
        <w:rPr>
          <w:rFonts w:ascii="Arial" w:eastAsia="Arial" w:hAnsi="Arial" w:cs="Arial"/>
          <w:sz w:val="22"/>
          <w:szCs w:val="22"/>
        </w:rPr>
      </w:pPr>
      <w:r>
        <w:rPr>
          <w:rFonts w:ascii="Arial" w:eastAsia="Arial" w:hAnsi="Arial" w:cs="Arial"/>
          <w:sz w:val="22"/>
          <w:szCs w:val="22"/>
        </w:rPr>
        <w:t xml:space="preserve">Estas pruebas valoradas en conjunto bajo la sana crítica, siendo pertinentes, útiles y conducentes, llevan al operador administrativo a la creencia fehaciente de que la orden aún continúa sin ser acatada y superada. </w:t>
      </w:r>
    </w:p>
    <w:p w14:paraId="384BBAD3" w14:textId="77777777" w:rsidR="001D5080" w:rsidRDefault="001D5080">
      <w:pPr>
        <w:jc w:val="both"/>
        <w:rPr>
          <w:rFonts w:ascii="Arial" w:eastAsia="Arial" w:hAnsi="Arial" w:cs="Arial"/>
          <w:sz w:val="22"/>
          <w:szCs w:val="22"/>
        </w:rPr>
      </w:pPr>
    </w:p>
    <w:p w14:paraId="4C4AF343" w14:textId="77777777" w:rsidR="001D5080" w:rsidRDefault="00C47F13">
      <w:pPr>
        <w:pBdr>
          <w:top w:val="nil"/>
          <w:left w:val="nil"/>
          <w:bottom w:val="nil"/>
          <w:right w:val="nil"/>
          <w:between w:val="nil"/>
        </w:pBdr>
        <w:jc w:val="both"/>
        <w:rPr>
          <w:rFonts w:ascii="Arial" w:eastAsia="Arial" w:hAnsi="Arial" w:cs="Arial"/>
          <w:color w:val="000000"/>
          <w:sz w:val="22"/>
          <w:szCs w:val="22"/>
          <w:highlight w:val="white"/>
        </w:rPr>
      </w:pPr>
      <w:r>
        <w:rPr>
          <w:rFonts w:ascii="Arial" w:eastAsia="Arial" w:hAnsi="Arial" w:cs="Arial"/>
          <w:color w:val="000000"/>
          <w:sz w:val="22"/>
          <w:szCs w:val="22"/>
          <w:highlight w:val="white"/>
        </w:rPr>
        <w:lastRenderedPageBreak/>
        <w:t>Aunado a lo anterior, es importante señalar que no corresponde a esta Dirección evidenciar o probar la subsanación de los hechos objeto de las órdenes de hacer de oficio, sino que, por el contrario, a la sancionada le corresponde allegar las pruebas que demuestren el cumplimiento de su obligación, tal y como lo establece el artículo tercero de la</w:t>
      </w:r>
      <w:r>
        <w:rPr>
          <w:rFonts w:ascii="Arial" w:eastAsia="Arial" w:hAnsi="Arial" w:cs="Arial"/>
          <w:color w:val="FF9900"/>
          <w:sz w:val="22"/>
          <w:szCs w:val="22"/>
        </w:rPr>
        <w:t xml:space="preserve"> </w:t>
      </w:r>
      <w:r>
        <w:rPr>
          <w:rFonts w:ascii="Arial" w:eastAsia="Arial" w:hAnsi="Arial" w:cs="Arial"/>
          <w:sz w:val="22"/>
          <w:szCs w:val="22"/>
        </w:rPr>
        <w:t xml:space="preserve">Resolución No. 471 del 14 de abril de 2014, </w:t>
      </w:r>
      <w:r>
        <w:rPr>
          <w:rFonts w:ascii="Arial" w:eastAsia="Arial" w:hAnsi="Arial" w:cs="Arial"/>
          <w:sz w:val="22"/>
          <w:szCs w:val="22"/>
          <w:highlight w:val="white"/>
        </w:rPr>
        <w:t>en c</w:t>
      </w:r>
      <w:r>
        <w:rPr>
          <w:rFonts w:ascii="Arial" w:eastAsia="Arial" w:hAnsi="Arial" w:cs="Arial"/>
          <w:color w:val="000000"/>
          <w:sz w:val="22"/>
          <w:szCs w:val="22"/>
          <w:highlight w:val="white"/>
        </w:rPr>
        <w:t>oncordancia con el artículo</w:t>
      </w:r>
      <w:r>
        <w:rPr>
          <w:rFonts w:ascii="Arial" w:eastAsia="Arial" w:hAnsi="Arial" w:cs="Arial"/>
          <w:sz w:val="22"/>
          <w:szCs w:val="22"/>
          <w:highlight w:val="white"/>
        </w:rPr>
        <w:t xml:space="preserve"> </w:t>
      </w:r>
      <w:r>
        <w:rPr>
          <w:rFonts w:ascii="Arial" w:eastAsia="Arial" w:hAnsi="Arial" w:cs="Arial"/>
          <w:color w:val="000000"/>
          <w:sz w:val="22"/>
          <w:szCs w:val="22"/>
          <w:highlight w:val="white"/>
        </w:rPr>
        <w:t>167 del Código General del proceso, al señalar que les corresponde a las partes probar el supuesto de hecho de las normas que consagran el efecto jurídico que ellas persiguen:</w:t>
      </w:r>
    </w:p>
    <w:p w14:paraId="72633D89" w14:textId="77777777" w:rsidR="001D5080" w:rsidRDefault="001D5080">
      <w:pPr>
        <w:jc w:val="both"/>
        <w:rPr>
          <w:rFonts w:ascii="Arial" w:eastAsia="Arial" w:hAnsi="Arial" w:cs="Arial"/>
          <w:sz w:val="22"/>
          <w:szCs w:val="22"/>
          <w:highlight w:val="white"/>
        </w:rPr>
      </w:pPr>
    </w:p>
    <w:p w14:paraId="643C95B2" w14:textId="77777777" w:rsidR="001D5080" w:rsidRDefault="00C47F13">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w:t>
      </w:r>
      <w:r>
        <w:rPr>
          <w:rFonts w:ascii="Arial" w:eastAsia="Arial" w:hAnsi="Arial" w:cs="Arial"/>
          <w:b/>
          <w:bCs/>
          <w:i/>
          <w:iCs/>
          <w:color w:val="000000"/>
          <w:sz w:val="22"/>
          <w:szCs w:val="22"/>
          <w:highlight w:val="white"/>
        </w:rPr>
        <w:t>ARTÍCULO 167. CARGA DE LA PRUEBA.</w:t>
      </w:r>
      <w:r>
        <w:rPr>
          <w:rFonts w:ascii="Arial" w:eastAsia="Arial" w:hAnsi="Arial" w:cs="Arial"/>
          <w:i/>
          <w:iCs/>
          <w:color w:val="000000"/>
          <w:sz w:val="22"/>
          <w:szCs w:val="22"/>
          <w:highlight w:val="white"/>
        </w:rPr>
        <w:t xml:space="preserve"> Incumbe a las partes probar el supuesto de hecho de las normas que consagran el efecto jurídico que ellas persiguen.</w:t>
      </w:r>
    </w:p>
    <w:p w14:paraId="0347C148" w14:textId="77777777" w:rsidR="001D5080" w:rsidRDefault="00C47F13">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72CEA50B" w14:textId="77777777" w:rsidR="001D5080" w:rsidRDefault="00C47F13">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No obstante, según las particularidades del caso, el juez podrá, de oficio o a petición de parte, distribuir, la carga al decretar las pruebas, durante su práctica o en cualquier momento del proceso antes de fallar, exigiendo probar determinado hecho a la parte que se encuentre en una situación más favorable para aportar las evidencias o esclarecer los hechos controvertidos. La parte se considerará en mejor posición para probar en virtud de su cercanía con el material probatorio, por tener en su poder el objeto de prueba, por circunstancias técnicas especiales, por haber intervenido directamente en los hechos que dieron lugar al litigio, o por estado de indefensión o de incapacidad en la cual se encuentre la contraparte, entre otras circunstancias similares.</w:t>
      </w:r>
    </w:p>
    <w:p w14:paraId="7C9E988C" w14:textId="77777777" w:rsidR="001D5080" w:rsidRDefault="00C47F13">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6B4F25DF" w14:textId="77777777" w:rsidR="001D5080" w:rsidRDefault="00C47F13">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Cuando el juez adopte esta decisión, que será susceptible de recurso, otorgará a la parte correspondiente el término necesario para aportar o solicitar la respectiva prueba, la cual se someterá a las reglas de contradicción previstas en este código.</w:t>
      </w:r>
    </w:p>
    <w:p w14:paraId="566CD552" w14:textId="77777777" w:rsidR="001D5080" w:rsidRDefault="00C47F13">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284087A1" w14:textId="77777777" w:rsidR="001D5080" w:rsidRDefault="00C47F13">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Los hechos notorios y las afirmaciones o negaciones indefinidas no requieren prueba.”.</w:t>
      </w:r>
    </w:p>
    <w:p w14:paraId="4E9FE0FD" w14:textId="77777777" w:rsidR="001D5080" w:rsidRDefault="00C47F13">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668717E9" w14:textId="77777777" w:rsidR="001D5080" w:rsidRDefault="00C47F13">
      <w:pPr>
        <w:jc w:val="both"/>
        <w:rPr>
          <w:rFonts w:ascii="Arial" w:eastAsia="Arial" w:hAnsi="Arial" w:cs="Arial"/>
          <w:sz w:val="22"/>
          <w:szCs w:val="22"/>
        </w:rPr>
      </w:pPr>
      <w:r>
        <w:rPr>
          <w:rFonts w:ascii="Arial" w:eastAsia="Arial" w:hAnsi="Arial" w:cs="Arial"/>
          <w:sz w:val="22"/>
          <w:szCs w:val="22"/>
        </w:rPr>
        <w:t>En efecto, es obligación de la sociedad enajenadora informar a este Despacho de las actuaciones tendientes a solucionar de manera efectiva los hechos objeto de la sanción por las deficiencias constructivas, toda vez que la misma proviene de una orden impuesta; sin embargo, como se demostró en el expediente, a la fecha no obra prueba alguna que permita establecer que los hechos han sido superados de manera definitiva, o que el quejoso o interesado han impedido la realización de las obras ordenadas, pese a que ha contado con el término suficiente para ello, situación que conlleva a la imposición de multas, en los términos citados en párrafos anteriores.</w:t>
      </w:r>
    </w:p>
    <w:p w14:paraId="67AD22DA" w14:textId="77777777" w:rsidR="001D5080" w:rsidRDefault="001D5080">
      <w:pPr>
        <w:ind w:left="360"/>
        <w:jc w:val="both"/>
        <w:rPr>
          <w:rFonts w:ascii="Arial" w:eastAsia="Arial" w:hAnsi="Arial" w:cs="Arial"/>
          <w:b/>
          <w:bCs/>
          <w:sz w:val="22"/>
          <w:szCs w:val="22"/>
          <w:highlight w:val="white"/>
        </w:rPr>
      </w:pPr>
    </w:p>
    <w:p w14:paraId="781F03E5" w14:textId="77777777" w:rsidR="001D5080" w:rsidRDefault="00C47F13">
      <w:pPr>
        <w:jc w:val="both"/>
        <w:rPr>
          <w:rFonts w:ascii="Arial" w:eastAsia="Arial" w:hAnsi="Arial" w:cs="Arial"/>
          <w:b/>
          <w:bCs/>
          <w:sz w:val="22"/>
          <w:szCs w:val="22"/>
          <w:highlight w:val="white"/>
        </w:rPr>
      </w:pPr>
      <w:r>
        <w:rPr>
          <w:rFonts w:ascii="Arial" w:eastAsia="Arial" w:hAnsi="Arial" w:cs="Arial"/>
          <w:b/>
          <w:bCs/>
          <w:sz w:val="22"/>
          <w:szCs w:val="22"/>
          <w:highlight w:val="white"/>
        </w:rPr>
        <w:t>Graduación de la sanción.</w:t>
      </w:r>
    </w:p>
    <w:p w14:paraId="58E56E50" w14:textId="77777777" w:rsidR="001D5080" w:rsidRDefault="001D5080">
      <w:pPr>
        <w:jc w:val="both"/>
        <w:rPr>
          <w:rFonts w:ascii="Arial" w:eastAsia="Arial" w:hAnsi="Arial" w:cs="Arial"/>
          <w:sz w:val="22"/>
          <w:szCs w:val="22"/>
          <w:highlight w:val="white"/>
        </w:rPr>
      </w:pPr>
    </w:p>
    <w:p w14:paraId="74C5D24B" w14:textId="77777777" w:rsidR="001D5080" w:rsidRDefault="00C47F13">
      <w:pPr>
        <w:jc w:val="both"/>
        <w:rPr>
          <w:rFonts w:ascii="Arial" w:eastAsia="Arial" w:hAnsi="Arial" w:cs="Arial"/>
          <w:sz w:val="22"/>
          <w:szCs w:val="22"/>
          <w:highlight w:val="white"/>
        </w:rPr>
      </w:pPr>
      <w:r>
        <w:rPr>
          <w:rFonts w:ascii="Arial" w:eastAsia="Arial" w:hAnsi="Arial" w:cs="Arial"/>
          <w:sz w:val="22"/>
          <w:szCs w:val="22"/>
          <w:highlight w:val="white"/>
        </w:rPr>
        <w:t xml:space="preserve">El parámetro fundamental para la graduación de las multas es el carácter leve, grave o gravísimo que se le asigna a las afectaciones dentro del trámite de la actuación, conforme a las definiciones del artículo 112 del Decreto Distrital 653 de 2025. Estas tres categorías modulan la infracción al derecho a la vivienda digna como máximo bien jurídico tutelado </w:t>
      </w:r>
      <w:r>
        <w:rPr>
          <w:rFonts w:ascii="Arial" w:eastAsia="Arial" w:hAnsi="Arial" w:cs="Arial"/>
          <w:sz w:val="22"/>
          <w:szCs w:val="22"/>
          <w:highlight w:val="white"/>
        </w:rPr>
        <w:lastRenderedPageBreak/>
        <w:t>dentro de las actuaciones por deficiencias constructivas y/o desmejoramientos de especificaciones técnicas que adelanta esta Dirección.</w:t>
      </w:r>
    </w:p>
    <w:p w14:paraId="64218247" w14:textId="77777777" w:rsidR="001D5080" w:rsidRDefault="001D5080">
      <w:pPr>
        <w:jc w:val="both"/>
        <w:rPr>
          <w:rFonts w:ascii="Arial" w:eastAsia="Arial" w:hAnsi="Arial" w:cs="Arial"/>
          <w:sz w:val="22"/>
          <w:szCs w:val="22"/>
          <w:highlight w:val="white"/>
        </w:rPr>
      </w:pPr>
    </w:p>
    <w:p w14:paraId="748FC185" w14:textId="77777777" w:rsidR="001D5080" w:rsidRDefault="00C47F13">
      <w:pPr>
        <w:jc w:val="both"/>
        <w:rPr>
          <w:rFonts w:ascii="Arial" w:eastAsia="Arial" w:hAnsi="Arial" w:cs="Arial"/>
          <w:sz w:val="22"/>
          <w:szCs w:val="22"/>
        </w:rPr>
      </w:pPr>
      <w:r>
        <w:rPr>
          <w:rFonts w:ascii="Arial" w:eastAsia="Arial" w:hAnsi="Arial" w:cs="Arial"/>
          <w:sz w:val="22"/>
          <w:szCs w:val="22"/>
          <w:highlight w:val="white"/>
        </w:rPr>
        <w:t xml:space="preserve">Dicha categorización apunta a diferenciar si se vulneran las condiciones de habitabilidad o de uso de la vivienda o sus condiciones estructurales, por tanto, constituyen el marco para la aplicación de los principios de razonabilidad y proporcionalidad en la motivación de la multa. En el presente caso se determinó que las afectaciones son de carácter grave, como se evidencia en el artículo segundo de la </w:t>
      </w:r>
      <w:r>
        <w:rPr>
          <w:rFonts w:ascii="Arial" w:eastAsia="Arial" w:hAnsi="Arial" w:cs="Arial"/>
          <w:sz w:val="22"/>
          <w:szCs w:val="22"/>
        </w:rPr>
        <w:t>Resolución No. 471 del 14 de abril de 2014.</w:t>
      </w:r>
    </w:p>
    <w:p w14:paraId="4A000274" w14:textId="77777777" w:rsidR="001D5080" w:rsidRDefault="001D5080">
      <w:pPr>
        <w:jc w:val="both"/>
        <w:rPr>
          <w:rFonts w:ascii="Arial" w:eastAsia="Arial" w:hAnsi="Arial" w:cs="Arial"/>
          <w:sz w:val="22"/>
          <w:szCs w:val="22"/>
        </w:rPr>
      </w:pPr>
    </w:p>
    <w:p w14:paraId="7D6AEEC8" w14:textId="77777777" w:rsidR="001D5080" w:rsidRDefault="00C47F13">
      <w:pPr>
        <w:jc w:val="both"/>
        <w:rPr>
          <w:rFonts w:ascii="Arial" w:eastAsia="Arial" w:hAnsi="Arial" w:cs="Arial"/>
          <w:sz w:val="22"/>
          <w:szCs w:val="22"/>
          <w:highlight w:val="white"/>
        </w:rPr>
      </w:pPr>
      <w:r>
        <w:rPr>
          <w:rFonts w:ascii="Arial" w:eastAsia="Arial" w:hAnsi="Arial" w:cs="Arial"/>
          <w:sz w:val="22"/>
          <w:szCs w:val="22"/>
          <w:highlight w:val="white"/>
        </w:rPr>
        <w:t>Es por ello por lo que esta Dirección gradúa las multas que impone, cuando hay lugar a ello, atendiendo los criterios establecidos en el artículo 50 del Código de Procedimiento Administrativo y de lo Contencioso Administrativo, que se logren establecer en la actuación administrativa.</w:t>
      </w:r>
    </w:p>
    <w:p w14:paraId="0A577C46" w14:textId="77777777" w:rsidR="001D5080" w:rsidRDefault="001D5080">
      <w:pPr>
        <w:ind w:right="567"/>
        <w:jc w:val="both"/>
        <w:rPr>
          <w:rFonts w:ascii="Arial" w:eastAsia="Arial" w:hAnsi="Arial" w:cs="Arial"/>
          <w:i/>
          <w:iCs/>
          <w:sz w:val="22"/>
          <w:szCs w:val="22"/>
        </w:rPr>
      </w:pPr>
    </w:p>
    <w:p w14:paraId="59474898" w14:textId="77777777" w:rsidR="001D5080" w:rsidRDefault="00C47F13">
      <w:pPr>
        <w:tabs>
          <w:tab w:val="left" w:pos="284"/>
        </w:tabs>
        <w:jc w:val="both"/>
        <w:rPr>
          <w:rFonts w:ascii="Arial" w:eastAsia="Arial" w:hAnsi="Arial" w:cs="Arial"/>
          <w:sz w:val="22"/>
          <w:szCs w:val="22"/>
        </w:rPr>
      </w:pPr>
      <w:r>
        <w:rPr>
          <w:rFonts w:ascii="Arial" w:eastAsia="Arial" w:hAnsi="Arial" w:cs="Arial"/>
          <w:sz w:val="22"/>
          <w:szCs w:val="22"/>
        </w:rPr>
        <w:t>Así las cosas, el artículo 50 de la Ley 1437 de 2011 establece que, en la determinación de la gravedad de la falta y el rigor de la sanción se han de considerar los criterios expresamente previstos allí.</w:t>
      </w:r>
    </w:p>
    <w:p w14:paraId="1EB8CDC8" w14:textId="77777777" w:rsidR="001D5080" w:rsidRDefault="001D5080">
      <w:pPr>
        <w:jc w:val="both"/>
        <w:rPr>
          <w:rFonts w:ascii="Arial" w:eastAsia="Arial" w:hAnsi="Arial" w:cs="Arial"/>
          <w:sz w:val="22"/>
          <w:szCs w:val="22"/>
        </w:rPr>
      </w:pPr>
    </w:p>
    <w:p w14:paraId="32BB2DFA" w14:textId="77777777" w:rsidR="001D5080" w:rsidRDefault="00C47F13">
      <w:pPr>
        <w:tabs>
          <w:tab w:val="left" w:pos="284"/>
        </w:tabs>
        <w:jc w:val="both"/>
        <w:rPr>
          <w:rFonts w:ascii="Arial" w:eastAsia="Arial" w:hAnsi="Arial" w:cs="Arial"/>
          <w:sz w:val="22"/>
          <w:szCs w:val="22"/>
        </w:rPr>
      </w:pPr>
      <w:r>
        <w:rPr>
          <w:rFonts w:ascii="Arial" w:eastAsia="Arial" w:hAnsi="Arial" w:cs="Arial"/>
          <w:sz w:val="22"/>
          <w:szCs w:val="22"/>
        </w:rPr>
        <w:t>Bajo las anteriores consideraciones, una vez evaluada la conducta objeto de reproche desde sus diferentes dimensiones y teniendo en cuenta los criterios normativos señalados, a los cuales se encuentra sujeta la discrecionalidad de la administración, esta Dirección iniciará la definición de la sanción que resulte necesario imponer, frente a la conducta desplegada por parte de la sociedad enajenadora investigada a saber:</w:t>
      </w:r>
    </w:p>
    <w:p w14:paraId="51DF8BC3" w14:textId="77777777" w:rsidR="001D5080" w:rsidRDefault="001D5080">
      <w:pPr>
        <w:pBdr>
          <w:top w:val="nil"/>
          <w:left w:val="nil"/>
          <w:bottom w:val="nil"/>
          <w:right w:val="nil"/>
          <w:between w:val="nil"/>
        </w:pBdr>
        <w:tabs>
          <w:tab w:val="left" w:pos="284"/>
        </w:tabs>
        <w:jc w:val="both"/>
        <w:rPr>
          <w:rFonts w:ascii="Arial" w:eastAsia="Arial" w:hAnsi="Arial" w:cs="Arial"/>
          <w:b/>
          <w:bCs/>
          <w:color w:val="000000"/>
          <w:sz w:val="22"/>
          <w:szCs w:val="22"/>
        </w:rPr>
      </w:pPr>
    </w:p>
    <w:p w14:paraId="08019DAC" w14:textId="77777777" w:rsidR="001D5080" w:rsidRDefault="00C47F13">
      <w:pPr>
        <w:pBdr>
          <w:top w:val="nil"/>
          <w:left w:val="nil"/>
          <w:bottom w:val="nil"/>
          <w:right w:val="nil"/>
          <w:between w:val="nil"/>
        </w:pBdr>
        <w:tabs>
          <w:tab w:val="left" w:pos="284"/>
        </w:tabs>
        <w:jc w:val="both"/>
        <w:rPr>
          <w:rFonts w:ascii="Arial" w:eastAsia="Arial" w:hAnsi="Arial" w:cs="Arial"/>
          <w:color w:val="000000"/>
          <w:sz w:val="22"/>
          <w:szCs w:val="22"/>
        </w:rPr>
      </w:pPr>
      <w:r>
        <w:rPr>
          <w:rFonts w:ascii="Arial" w:eastAsia="Arial" w:hAnsi="Arial" w:cs="Arial"/>
          <w:b/>
          <w:bCs/>
          <w:color w:val="000000"/>
          <w:sz w:val="22"/>
          <w:szCs w:val="22"/>
        </w:rPr>
        <w:t>Daño o peligro generado a los intereses jurídicos tutelados:</w:t>
      </w:r>
      <w:r>
        <w:rPr>
          <w:rFonts w:ascii="Arial" w:eastAsia="Arial" w:hAnsi="Arial" w:cs="Arial"/>
          <w:color w:val="000000"/>
          <w:sz w:val="22"/>
          <w:szCs w:val="22"/>
        </w:rPr>
        <w:t xml:space="preserve"> Este criterio alude bien a que se produzca un daño al interés jurídico protegido por la norma infringida, o a que simplemente se ponga en peligro. </w:t>
      </w:r>
    </w:p>
    <w:p w14:paraId="410A7D31" w14:textId="77777777" w:rsidR="001D5080" w:rsidRDefault="001D5080">
      <w:pPr>
        <w:pBdr>
          <w:top w:val="nil"/>
          <w:left w:val="nil"/>
          <w:bottom w:val="nil"/>
          <w:right w:val="nil"/>
          <w:between w:val="nil"/>
        </w:pBdr>
        <w:tabs>
          <w:tab w:val="left" w:pos="284"/>
        </w:tabs>
        <w:jc w:val="both"/>
        <w:rPr>
          <w:rFonts w:ascii="Arial" w:eastAsia="Arial" w:hAnsi="Arial" w:cs="Arial"/>
          <w:color w:val="000000"/>
          <w:sz w:val="22"/>
          <w:szCs w:val="22"/>
        </w:rPr>
      </w:pPr>
    </w:p>
    <w:p w14:paraId="4A7192FF" w14:textId="77777777" w:rsidR="001D5080" w:rsidRDefault="00C47F13">
      <w:pPr>
        <w:jc w:val="both"/>
        <w:rPr>
          <w:rFonts w:ascii="Arial" w:eastAsia="Arial" w:hAnsi="Arial" w:cs="Arial"/>
          <w:sz w:val="22"/>
          <w:szCs w:val="22"/>
        </w:rPr>
      </w:pPr>
      <w:r>
        <w:rPr>
          <w:rFonts w:ascii="Arial" w:eastAsia="Arial" w:hAnsi="Arial" w:cs="Arial"/>
          <w:sz w:val="22"/>
          <w:szCs w:val="22"/>
        </w:rPr>
        <w:t>E</w:t>
      </w:r>
      <w:r>
        <w:rPr>
          <w:rFonts w:ascii="Arial" w:eastAsia="Arial" w:hAnsi="Arial" w:cs="Arial"/>
          <w:sz w:val="22"/>
          <w:szCs w:val="22"/>
          <w:highlight w:val="white"/>
        </w:rPr>
        <w:t>n este caso se evidencia que la sociedad enajenadora no ha dado cumplimiento a las órdenes de hacer, aun cuando es de su conocimiento que contaba con el término de tres (3) meses para realizar los trabajos tendientes a solucionar en forma definitiva los hechos objeto de sanción</w:t>
      </w:r>
      <w:r>
        <w:rPr>
          <w:rFonts w:ascii="Arial" w:eastAsia="Arial" w:hAnsi="Arial" w:cs="Arial"/>
          <w:sz w:val="22"/>
          <w:szCs w:val="22"/>
        </w:rPr>
        <w:t>.</w:t>
      </w:r>
    </w:p>
    <w:p w14:paraId="02212472" w14:textId="77777777" w:rsidR="001D5080" w:rsidRDefault="00C47F13">
      <w:pPr>
        <w:jc w:val="both"/>
        <w:rPr>
          <w:rFonts w:ascii="Arial" w:eastAsia="Arial" w:hAnsi="Arial" w:cs="Arial"/>
          <w:sz w:val="22"/>
          <w:szCs w:val="22"/>
          <w:highlight w:val="white"/>
        </w:rPr>
      </w:pPr>
      <w:r>
        <w:rPr>
          <w:rFonts w:ascii="Arial" w:eastAsia="Arial" w:hAnsi="Arial" w:cs="Arial"/>
          <w:sz w:val="22"/>
          <w:szCs w:val="22"/>
        </w:rPr>
        <w:tab/>
      </w:r>
      <w:r>
        <w:rPr>
          <w:rFonts w:ascii="Arial" w:eastAsia="Arial" w:hAnsi="Arial" w:cs="Arial"/>
          <w:sz w:val="22"/>
          <w:szCs w:val="22"/>
          <w:highlight w:val="white"/>
        </w:rPr>
        <w:t xml:space="preserve"> </w:t>
      </w:r>
    </w:p>
    <w:p w14:paraId="4C7FDACB" w14:textId="77777777" w:rsidR="001D5080" w:rsidRDefault="00C47F13">
      <w:pPr>
        <w:jc w:val="both"/>
        <w:rPr>
          <w:rFonts w:ascii="Arial" w:eastAsia="Arial" w:hAnsi="Arial" w:cs="Arial"/>
          <w:color w:val="FF9900"/>
          <w:sz w:val="22"/>
          <w:szCs w:val="22"/>
        </w:rPr>
      </w:pPr>
      <w:r>
        <w:rPr>
          <w:rFonts w:ascii="Arial" w:eastAsia="Arial" w:hAnsi="Arial" w:cs="Arial"/>
          <w:sz w:val="22"/>
          <w:szCs w:val="22"/>
        </w:rPr>
        <w:t>Por lo anterior, este criterio resulta aplicable al caso concreto, razón por la cual se tendrá en cuenta para la graduación de la sanción que resulte procedente de acuerdo con los cargos endilgados en la Resolución No. 471 del 14 de abril de 2014.</w:t>
      </w:r>
    </w:p>
    <w:p w14:paraId="5FF96C1F" w14:textId="77777777" w:rsidR="001D5080" w:rsidRDefault="001D5080">
      <w:pPr>
        <w:jc w:val="both"/>
        <w:rPr>
          <w:rFonts w:ascii="Arial" w:eastAsia="Arial" w:hAnsi="Arial" w:cs="Arial"/>
          <w:color w:val="FF9900"/>
          <w:sz w:val="22"/>
          <w:szCs w:val="22"/>
        </w:rPr>
      </w:pPr>
    </w:p>
    <w:p w14:paraId="7EB5D1F3" w14:textId="77777777" w:rsidR="001D5080" w:rsidRDefault="00C47F13">
      <w:pPr>
        <w:jc w:val="both"/>
        <w:rPr>
          <w:rFonts w:ascii="Arial" w:eastAsia="Arial" w:hAnsi="Arial" w:cs="Arial"/>
          <w:b/>
          <w:bCs/>
          <w:sz w:val="22"/>
          <w:szCs w:val="22"/>
        </w:rPr>
      </w:pPr>
      <w:r>
        <w:rPr>
          <w:rFonts w:ascii="Arial" w:eastAsia="Arial" w:hAnsi="Arial" w:cs="Arial"/>
          <w:b/>
          <w:bCs/>
          <w:sz w:val="22"/>
          <w:szCs w:val="22"/>
        </w:rPr>
        <w:t xml:space="preserve">Beneficio económico por el infractor para sí o a favor de un tercero: </w:t>
      </w:r>
      <w:r>
        <w:rPr>
          <w:rFonts w:ascii="Arial" w:eastAsia="Arial" w:hAnsi="Arial" w:cs="Arial"/>
          <w:sz w:val="22"/>
          <w:szCs w:val="22"/>
        </w:rPr>
        <w:t>No se observa en el desarrollo de la presente actuación administrativa de seguimiento que la sociedad enajenadora OBRAS LTDA. - EN LIQUIDACIÒN, obtuviera,</w:t>
      </w:r>
      <w:r>
        <w:rPr>
          <w:rFonts w:ascii="Arial" w:eastAsia="Arial" w:hAnsi="Arial" w:cs="Arial"/>
          <w:b/>
          <w:bCs/>
          <w:sz w:val="22"/>
          <w:szCs w:val="22"/>
        </w:rPr>
        <w:t xml:space="preserve"> </w:t>
      </w:r>
      <w:r>
        <w:rPr>
          <w:rFonts w:ascii="Arial" w:eastAsia="Arial" w:hAnsi="Arial" w:cs="Arial"/>
          <w:sz w:val="22"/>
          <w:szCs w:val="22"/>
        </w:rPr>
        <w:t>para sí</w:t>
      </w:r>
      <w:r>
        <w:rPr>
          <w:rFonts w:ascii="Arial" w:eastAsia="Arial" w:hAnsi="Arial" w:cs="Arial"/>
          <w:b/>
          <w:bCs/>
          <w:sz w:val="22"/>
          <w:szCs w:val="22"/>
        </w:rPr>
        <w:t xml:space="preserve"> </w:t>
      </w:r>
      <w:r>
        <w:rPr>
          <w:rFonts w:ascii="Arial" w:eastAsia="Arial" w:hAnsi="Arial" w:cs="Arial"/>
          <w:sz w:val="22"/>
          <w:szCs w:val="22"/>
        </w:rPr>
        <w:t>o en favor de un tercero,</w:t>
      </w:r>
      <w:r>
        <w:rPr>
          <w:rFonts w:ascii="Arial" w:eastAsia="Arial" w:hAnsi="Arial" w:cs="Arial"/>
          <w:b/>
          <w:bCs/>
          <w:sz w:val="22"/>
          <w:szCs w:val="22"/>
        </w:rPr>
        <w:t xml:space="preserve"> </w:t>
      </w:r>
      <w:r>
        <w:rPr>
          <w:rFonts w:ascii="Arial" w:eastAsia="Arial" w:hAnsi="Arial" w:cs="Arial"/>
          <w:sz w:val="22"/>
          <w:szCs w:val="22"/>
        </w:rPr>
        <w:t xml:space="preserve">algún beneficio económico en la presente investigación, por lo que este criterio no resulta aplicable para graduar la sanción a imponer. </w:t>
      </w:r>
    </w:p>
    <w:p w14:paraId="20445EAD" w14:textId="77777777" w:rsidR="001D5080" w:rsidRDefault="001D5080">
      <w:pPr>
        <w:jc w:val="both"/>
        <w:rPr>
          <w:rFonts w:ascii="Arial" w:eastAsia="Arial" w:hAnsi="Arial" w:cs="Arial"/>
          <w:sz w:val="22"/>
          <w:szCs w:val="22"/>
        </w:rPr>
      </w:pPr>
    </w:p>
    <w:p w14:paraId="79F0CF03" w14:textId="77777777" w:rsidR="001D5080" w:rsidRDefault="00C47F13">
      <w:pPr>
        <w:jc w:val="both"/>
        <w:rPr>
          <w:rFonts w:ascii="Arial" w:eastAsia="Arial" w:hAnsi="Arial" w:cs="Arial"/>
          <w:sz w:val="22"/>
          <w:szCs w:val="22"/>
        </w:rPr>
      </w:pPr>
      <w:r>
        <w:rPr>
          <w:rFonts w:ascii="Arial" w:eastAsia="Arial" w:hAnsi="Arial" w:cs="Arial"/>
          <w:b/>
          <w:bCs/>
          <w:sz w:val="22"/>
          <w:szCs w:val="22"/>
        </w:rPr>
        <w:lastRenderedPageBreak/>
        <w:t>Reincidencia:</w:t>
      </w:r>
      <w:r>
        <w:rPr>
          <w:rFonts w:ascii="Arial" w:eastAsia="Arial" w:hAnsi="Arial" w:cs="Arial"/>
          <w:sz w:val="22"/>
          <w:szCs w:val="22"/>
        </w:rPr>
        <w:t xml:space="preserve"> Consultado el expediente, se evidencia que la sociedad enajenadora OBRAS LTDA. - EN LIQUIDACIÒN</w:t>
      </w:r>
      <w:r>
        <w:rPr>
          <w:rFonts w:ascii="Arial" w:eastAsia="Arial" w:hAnsi="Arial" w:cs="Arial"/>
          <w:b/>
          <w:bCs/>
          <w:sz w:val="22"/>
          <w:szCs w:val="22"/>
        </w:rPr>
        <w:t>,</w:t>
      </w:r>
      <w:r>
        <w:rPr>
          <w:rFonts w:ascii="Arial" w:eastAsia="Arial" w:hAnsi="Arial" w:cs="Arial"/>
          <w:sz w:val="22"/>
          <w:szCs w:val="22"/>
        </w:rPr>
        <w:t xml:space="preserve"> sí ha sido objeto de multas sucesivas por estos mismos hechos, como en la Resolución No. 316 de 25 de abril de 2023 </w:t>
      </w:r>
      <w:r>
        <w:rPr>
          <w:rFonts w:ascii="Arial" w:eastAsia="Arial" w:hAnsi="Arial" w:cs="Arial"/>
          <w:i/>
          <w:iCs/>
          <w:sz w:val="22"/>
          <w:szCs w:val="22"/>
        </w:rPr>
        <w:t xml:space="preserve">“Por la cual se impone multa por incumplimiento de una orden”. </w:t>
      </w:r>
    </w:p>
    <w:p w14:paraId="2642A0D3" w14:textId="77777777" w:rsidR="001D5080" w:rsidRDefault="001D5080">
      <w:pPr>
        <w:jc w:val="both"/>
        <w:rPr>
          <w:rFonts w:ascii="Arial" w:eastAsia="Arial" w:hAnsi="Arial" w:cs="Arial"/>
          <w:sz w:val="22"/>
          <w:szCs w:val="22"/>
        </w:rPr>
      </w:pPr>
    </w:p>
    <w:p w14:paraId="65208682" w14:textId="77777777" w:rsidR="001D5080" w:rsidRDefault="00C47F13">
      <w:pPr>
        <w:jc w:val="both"/>
        <w:rPr>
          <w:rFonts w:ascii="Arial" w:eastAsia="Arial" w:hAnsi="Arial" w:cs="Arial"/>
          <w:b/>
          <w:bCs/>
          <w:sz w:val="22"/>
          <w:szCs w:val="22"/>
        </w:rPr>
      </w:pPr>
      <w:r>
        <w:rPr>
          <w:rFonts w:ascii="Arial" w:eastAsia="Arial" w:hAnsi="Arial" w:cs="Arial"/>
          <w:b/>
          <w:bCs/>
          <w:sz w:val="22"/>
          <w:szCs w:val="22"/>
        </w:rPr>
        <w:t xml:space="preserve">Resistencia, negativa u obstrucción a la acción investigadora o de supervisión: </w:t>
      </w:r>
      <w:r>
        <w:rPr>
          <w:rFonts w:ascii="Arial" w:eastAsia="Arial" w:hAnsi="Arial" w:cs="Arial"/>
          <w:sz w:val="22"/>
          <w:szCs w:val="22"/>
        </w:rPr>
        <w:t>No se observa en el desarrollo de la actuación administrativa de seguimiento que la sociedad enajenadora OBRAS LTDA. - EN LIQUIDACIÒN</w:t>
      </w:r>
      <w:r>
        <w:rPr>
          <w:rFonts w:ascii="Arial" w:eastAsia="Arial" w:hAnsi="Arial" w:cs="Arial"/>
          <w:b/>
          <w:bCs/>
          <w:sz w:val="22"/>
          <w:szCs w:val="22"/>
        </w:rPr>
        <w:t>,</w:t>
      </w:r>
      <w:r>
        <w:rPr>
          <w:rFonts w:ascii="Arial" w:eastAsia="Arial" w:hAnsi="Arial" w:cs="Arial"/>
          <w:sz w:val="22"/>
          <w:szCs w:val="22"/>
        </w:rPr>
        <w:t xml:space="preserve"> incurriera en alguna conducta que implica resistencia o que obstruyera el desarrollo de la presente investigación, por lo que este criterio no resulta aplicable para graduar la sanción a imponer.</w:t>
      </w:r>
    </w:p>
    <w:p w14:paraId="2BD50A7C" w14:textId="77777777" w:rsidR="001D5080" w:rsidRDefault="001D5080">
      <w:pPr>
        <w:jc w:val="both"/>
        <w:rPr>
          <w:rFonts w:ascii="Arial" w:eastAsia="Arial" w:hAnsi="Arial" w:cs="Arial"/>
          <w:b/>
          <w:bCs/>
          <w:sz w:val="22"/>
          <w:szCs w:val="22"/>
        </w:rPr>
      </w:pPr>
    </w:p>
    <w:p w14:paraId="2700080C" w14:textId="77777777" w:rsidR="001D5080" w:rsidRDefault="00C47F13">
      <w:pPr>
        <w:jc w:val="both"/>
        <w:rPr>
          <w:rFonts w:ascii="Arial" w:eastAsia="Arial" w:hAnsi="Arial" w:cs="Arial"/>
          <w:b/>
          <w:bCs/>
          <w:sz w:val="22"/>
          <w:szCs w:val="22"/>
        </w:rPr>
      </w:pPr>
      <w:r>
        <w:rPr>
          <w:rFonts w:ascii="Arial" w:eastAsia="Arial" w:hAnsi="Arial" w:cs="Arial"/>
          <w:b/>
          <w:bCs/>
          <w:sz w:val="22"/>
          <w:szCs w:val="22"/>
        </w:rPr>
        <w:t>Utilización de medios fraudulentos o utilización de persona interpuesta para ocultar la infracción u ocultar sus efectos:</w:t>
      </w:r>
      <w:r>
        <w:rPr>
          <w:rFonts w:ascii="Arial" w:eastAsia="Arial" w:hAnsi="Arial" w:cs="Arial"/>
          <w:sz w:val="22"/>
          <w:szCs w:val="22"/>
        </w:rPr>
        <w:t xml:space="preserve"> No se evidenció que la sociedad enajenadora</w:t>
      </w:r>
      <w:r>
        <w:rPr>
          <w:rFonts w:ascii="Arial" w:eastAsia="Arial" w:hAnsi="Arial" w:cs="Arial"/>
          <w:sz w:val="24"/>
          <w:szCs w:val="24"/>
          <w:highlight w:val="white"/>
        </w:rPr>
        <w:t xml:space="preserve"> </w:t>
      </w:r>
      <w:r>
        <w:rPr>
          <w:rFonts w:ascii="Arial" w:eastAsia="Arial" w:hAnsi="Arial" w:cs="Arial"/>
          <w:sz w:val="22"/>
          <w:szCs w:val="22"/>
        </w:rPr>
        <w:t>OBRAS LTDA. - EN LIQUIDACIÒN, haya propiciado o utilizado alguna maniobra fraudulenta para ocultar la comisión y consecuencias de la infracción que se le imputó, por lo que este criterio no resulta aplicable para graduar la sanción a imponer.</w:t>
      </w:r>
    </w:p>
    <w:p w14:paraId="47417566" w14:textId="77777777" w:rsidR="001D5080" w:rsidRDefault="001D5080">
      <w:pPr>
        <w:jc w:val="both"/>
        <w:rPr>
          <w:rFonts w:ascii="Arial" w:eastAsia="Arial" w:hAnsi="Arial" w:cs="Arial"/>
          <w:sz w:val="22"/>
          <w:szCs w:val="22"/>
        </w:rPr>
      </w:pPr>
    </w:p>
    <w:p w14:paraId="35419702" w14:textId="77777777" w:rsidR="001D5080" w:rsidRDefault="00C47F13">
      <w:pPr>
        <w:jc w:val="both"/>
        <w:rPr>
          <w:rFonts w:ascii="Arial" w:eastAsia="Arial" w:hAnsi="Arial" w:cs="Arial"/>
          <w:sz w:val="22"/>
          <w:szCs w:val="22"/>
        </w:rPr>
      </w:pPr>
      <w:r>
        <w:rPr>
          <w:rFonts w:ascii="Arial" w:eastAsia="Arial" w:hAnsi="Arial" w:cs="Arial"/>
          <w:b/>
          <w:bCs/>
          <w:sz w:val="22"/>
          <w:szCs w:val="22"/>
        </w:rPr>
        <w:t xml:space="preserve">Grado de prudencia y diligencia con que se hayan atendido los deberes o se hayan aplicado las normas legales pertinentes: </w:t>
      </w:r>
      <w:r>
        <w:rPr>
          <w:rFonts w:ascii="Arial" w:eastAsia="Arial" w:hAnsi="Arial" w:cs="Arial"/>
          <w:sz w:val="22"/>
          <w:szCs w:val="22"/>
        </w:rPr>
        <w:t xml:space="preserve">Este Despacho considera que el incumplimiento reglamentario en que incurrió la sociedad enajenadora conlleva a la vulneración concreta de obligaciones, y/o prohibiciones previamente conocidas y adquiridas a partir de la voluntaria decisión de desarrollar actividades de enajenación de vivienda urbana en el Distrito Capital, situación que acarrea la observancia de tales aspectos. </w:t>
      </w:r>
    </w:p>
    <w:p w14:paraId="304AF01C" w14:textId="77777777" w:rsidR="001D5080" w:rsidRDefault="001D5080">
      <w:pPr>
        <w:jc w:val="both"/>
        <w:rPr>
          <w:rFonts w:ascii="Arial" w:eastAsia="Arial" w:hAnsi="Arial" w:cs="Arial"/>
          <w:sz w:val="22"/>
          <w:szCs w:val="22"/>
        </w:rPr>
      </w:pPr>
    </w:p>
    <w:p w14:paraId="45EA277B" w14:textId="77777777" w:rsidR="001D5080" w:rsidRDefault="00C47F13">
      <w:pPr>
        <w:jc w:val="both"/>
        <w:rPr>
          <w:rFonts w:ascii="Arial" w:eastAsia="Arial" w:hAnsi="Arial" w:cs="Arial"/>
          <w:sz w:val="22"/>
          <w:szCs w:val="22"/>
        </w:rPr>
      </w:pPr>
      <w:r>
        <w:rPr>
          <w:rFonts w:ascii="Arial" w:eastAsia="Arial" w:hAnsi="Arial" w:cs="Arial"/>
          <w:sz w:val="22"/>
          <w:szCs w:val="22"/>
        </w:rPr>
        <w:t>Bajo este entendido, se hace necesario resaltar, que en la presente actuación administrativa de seguimiento se evidenció que la sociedad enajenadora OBRAS LTDA. - EN LIQUIDACIÒN no logró demostrar un grado de prudencia y diligencia con el que se hayan atendido los deberes, en tanto no allegó prueba que demuestre actividades encaminadas a la subsanación de los hechos establecidos en la Resolución No. 471 del 14 de abril de 2014.</w:t>
      </w:r>
    </w:p>
    <w:p w14:paraId="42F97432" w14:textId="77777777" w:rsidR="001D5080" w:rsidRDefault="001D5080">
      <w:pPr>
        <w:jc w:val="both"/>
        <w:rPr>
          <w:rFonts w:ascii="Arial" w:eastAsia="Arial" w:hAnsi="Arial" w:cs="Arial"/>
          <w:sz w:val="22"/>
          <w:szCs w:val="22"/>
        </w:rPr>
      </w:pPr>
    </w:p>
    <w:p w14:paraId="76EB8C2F" w14:textId="77777777" w:rsidR="001D5080" w:rsidRDefault="00C47F13">
      <w:pPr>
        <w:jc w:val="both"/>
        <w:rPr>
          <w:rFonts w:ascii="Arial" w:eastAsia="Arial" w:hAnsi="Arial" w:cs="Arial"/>
          <w:sz w:val="22"/>
          <w:szCs w:val="22"/>
        </w:rPr>
      </w:pPr>
      <w:r>
        <w:rPr>
          <w:rFonts w:ascii="Arial" w:eastAsia="Arial" w:hAnsi="Arial" w:cs="Arial"/>
          <w:b/>
          <w:bCs/>
          <w:sz w:val="22"/>
          <w:szCs w:val="22"/>
        </w:rPr>
        <w:t>Renuencia o desacato en el cumplimiento de las órdenes impartidas por la autoridad competente:</w:t>
      </w:r>
      <w:r>
        <w:rPr>
          <w:rFonts w:ascii="Arial" w:eastAsia="Arial" w:hAnsi="Arial" w:cs="Arial"/>
          <w:sz w:val="22"/>
          <w:szCs w:val="22"/>
        </w:rPr>
        <w:t xml:space="preserve"> En el curso de la actuación administrativa de seguimiento se evidencia que la sociedad enajenadora OBRAS LTDA. - EN LIQUIDACIÒN, ha incumplido en su totalidad la orden de hacer impuesta en la Resolución No. 471 del 14 de abril de 2014, impartida por este Despacho, razón por la cual, la acá sancionado se encuentra inmersa en esta conducta.</w:t>
      </w:r>
    </w:p>
    <w:p w14:paraId="456DE81A" w14:textId="77777777" w:rsidR="001D5080" w:rsidRDefault="001D5080">
      <w:pPr>
        <w:jc w:val="both"/>
        <w:rPr>
          <w:rFonts w:ascii="Arial" w:eastAsia="Arial" w:hAnsi="Arial" w:cs="Arial"/>
          <w:sz w:val="22"/>
          <w:szCs w:val="22"/>
        </w:rPr>
      </w:pPr>
    </w:p>
    <w:p w14:paraId="246DFF32" w14:textId="77777777" w:rsidR="001D5080" w:rsidRDefault="00C47F13">
      <w:pPr>
        <w:jc w:val="both"/>
        <w:rPr>
          <w:rFonts w:ascii="Arial" w:eastAsia="Arial" w:hAnsi="Arial" w:cs="Arial"/>
          <w:sz w:val="22"/>
          <w:szCs w:val="22"/>
        </w:rPr>
      </w:pPr>
      <w:r>
        <w:rPr>
          <w:rFonts w:ascii="Arial" w:eastAsia="Arial" w:hAnsi="Arial" w:cs="Arial"/>
          <w:b/>
          <w:bCs/>
          <w:sz w:val="22"/>
          <w:szCs w:val="22"/>
        </w:rPr>
        <w:t>Reconocimiento o aceptación expresa de la infracción antes del decreto de pruebas</w:t>
      </w:r>
      <w:r>
        <w:rPr>
          <w:rFonts w:ascii="Arial" w:eastAsia="Arial" w:hAnsi="Arial" w:cs="Arial"/>
          <w:sz w:val="22"/>
          <w:szCs w:val="22"/>
        </w:rPr>
        <w:t>: En el curso de la presente actuación administrativa de seguimiento la citada conducta ya fue valorada en la etapa procesal correspondiente a la investigación que culminó con la orden de hacer contenida en la Resolución No. 471 del 14 de abril de 2014, razón por la cual, este criterio no resulta aplicable en la presente instancia.</w:t>
      </w:r>
    </w:p>
    <w:p w14:paraId="2AE3DB29" w14:textId="77777777" w:rsidR="001D5080" w:rsidRDefault="001D5080">
      <w:pPr>
        <w:jc w:val="both"/>
        <w:rPr>
          <w:rFonts w:ascii="Arial" w:eastAsia="Arial" w:hAnsi="Arial" w:cs="Arial"/>
          <w:sz w:val="22"/>
          <w:szCs w:val="22"/>
          <w:highlight w:val="white"/>
        </w:rPr>
      </w:pPr>
    </w:p>
    <w:p w14:paraId="025B7E01" w14:textId="77777777" w:rsidR="001D5080" w:rsidRDefault="00C47F13">
      <w:pPr>
        <w:jc w:val="both"/>
        <w:rPr>
          <w:rFonts w:ascii="Arial" w:eastAsia="Arial" w:hAnsi="Arial" w:cs="Arial"/>
          <w:b/>
          <w:bCs/>
          <w:sz w:val="22"/>
          <w:szCs w:val="22"/>
          <w:highlight w:val="white"/>
        </w:rPr>
      </w:pPr>
      <w:r>
        <w:rPr>
          <w:rFonts w:ascii="Arial" w:eastAsia="Arial" w:hAnsi="Arial" w:cs="Arial"/>
          <w:b/>
          <w:bCs/>
          <w:sz w:val="22"/>
          <w:szCs w:val="22"/>
          <w:highlight w:val="white"/>
        </w:rPr>
        <w:lastRenderedPageBreak/>
        <w:t>7. Indexación de la multa a imponer</w:t>
      </w:r>
    </w:p>
    <w:p w14:paraId="0AFD9221" w14:textId="77777777" w:rsidR="001D5080" w:rsidRDefault="001D5080">
      <w:pPr>
        <w:tabs>
          <w:tab w:val="left" w:pos="5982"/>
        </w:tabs>
        <w:jc w:val="both"/>
        <w:rPr>
          <w:rFonts w:ascii="Arial" w:eastAsia="Arial" w:hAnsi="Arial" w:cs="Arial"/>
          <w:sz w:val="22"/>
          <w:szCs w:val="22"/>
          <w:highlight w:val="white"/>
        </w:rPr>
      </w:pPr>
    </w:p>
    <w:p w14:paraId="3CDBC472" w14:textId="77777777" w:rsidR="001D5080" w:rsidRDefault="00C47F13">
      <w:pPr>
        <w:jc w:val="both"/>
        <w:rPr>
          <w:rFonts w:ascii="Arial" w:eastAsia="Arial" w:hAnsi="Arial" w:cs="Arial"/>
          <w:sz w:val="22"/>
          <w:szCs w:val="22"/>
          <w:highlight w:val="white"/>
        </w:rPr>
      </w:pPr>
      <w:r>
        <w:rPr>
          <w:rFonts w:ascii="Arial" w:eastAsia="Arial" w:hAnsi="Arial" w:cs="Arial"/>
          <w:sz w:val="22"/>
          <w:szCs w:val="22"/>
          <w:highlight w:val="white"/>
        </w:rPr>
        <w:t xml:space="preserve">El inciso segundo, numeral 9º del artículo 2º del Decreto Ley 078 de 1987, faculta a este Despacho para imponer multas sucesivas entre DIEZ MIL ($10.000) y QUINIENTOS MIL ($500.000) pesos moneda legal, a las personas naturales o jurídicas sujetas al control y vigilancia de esta Subsecretaría, cuando se cerciore que se ha vulnerado una norma o reglamento a que debe estar sometido con relación a la actividad de enajenación de inmuebles destinados a vivienda, que serán indexados en el tiempo en que se verifique el incumplimiento, por cada seis (6) meses (calendario) de retardo al vencimiento de la fecha establecida para el efecto, de conformidad con lo dispuesto en el inciso segundo numeral 9º del artículo 2º del Decreto Ley 078 de 1987. </w:t>
      </w:r>
    </w:p>
    <w:p w14:paraId="560C2CAF" w14:textId="77777777" w:rsidR="001D5080" w:rsidRDefault="001D5080">
      <w:pPr>
        <w:jc w:val="both"/>
        <w:rPr>
          <w:rFonts w:ascii="Arial" w:eastAsia="Arial" w:hAnsi="Arial" w:cs="Arial"/>
          <w:sz w:val="22"/>
          <w:szCs w:val="22"/>
          <w:highlight w:val="white"/>
        </w:rPr>
      </w:pPr>
    </w:p>
    <w:p w14:paraId="2C1B19FB" w14:textId="77777777" w:rsidR="001D5080" w:rsidRDefault="00C47F13">
      <w:pPr>
        <w:jc w:val="both"/>
        <w:rPr>
          <w:rFonts w:ascii="Arial" w:eastAsia="Arial" w:hAnsi="Arial" w:cs="Arial"/>
          <w:sz w:val="22"/>
          <w:szCs w:val="22"/>
          <w:highlight w:val="white"/>
        </w:rPr>
      </w:pPr>
      <w:r>
        <w:rPr>
          <w:rFonts w:ascii="Arial" w:eastAsia="Arial" w:hAnsi="Arial" w:cs="Arial"/>
          <w:sz w:val="22"/>
          <w:szCs w:val="22"/>
          <w:highlight w:val="white"/>
        </w:rPr>
        <w:t>Las multas antes descritas se actualizarán, toda vez que la inaplicación de la indexación dejaría sin fuerza y efectividad las multas a través de las cuales el legislador buscó conminar a las personas dedicadas a la enajenación de inmuebles destinados a vivienda a cumplir con sus obligaciones, y a persuadirlos de la comisión de conductas infractoras al régimen aplicable.</w:t>
      </w:r>
    </w:p>
    <w:p w14:paraId="26C074F2" w14:textId="77777777" w:rsidR="001D5080" w:rsidRDefault="001D5080">
      <w:pPr>
        <w:jc w:val="both"/>
        <w:rPr>
          <w:rFonts w:ascii="Arial" w:eastAsia="Arial" w:hAnsi="Arial" w:cs="Arial"/>
          <w:sz w:val="22"/>
          <w:szCs w:val="22"/>
          <w:highlight w:val="white"/>
        </w:rPr>
      </w:pPr>
    </w:p>
    <w:p w14:paraId="40533BAF" w14:textId="77777777" w:rsidR="001D5080" w:rsidRDefault="00C47F13">
      <w:pPr>
        <w:jc w:val="both"/>
        <w:rPr>
          <w:rFonts w:ascii="Arial" w:eastAsia="Arial" w:hAnsi="Arial" w:cs="Arial"/>
          <w:sz w:val="22"/>
          <w:szCs w:val="22"/>
          <w:highlight w:val="white"/>
        </w:rPr>
      </w:pPr>
      <w:r>
        <w:rPr>
          <w:rFonts w:ascii="Arial" w:eastAsia="Arial" w:hAnsi="Arial" w:cs="Arial"/>
          <w:sz w:val="22"/>
          <w:szCs w:val="22"/>
          <w:highlight w:val="white"/>
        </w:rPr>
        <w:t>Adicionalmente, en este caso concreto la multa se indexa teniendo en cuenta los incrementos del índice de precios al consumidor certificados por el DANE, desde el 26 de octubre de 1979, momento en que se fijaron los valores de las multas por el Decreto Ley 2610 de 1979, hasta la fecha en que se impone la sanción sin que ello signifique el pago de un mayor valor al establecido en la ley, sino que se aplica el mismo valor, pero pasado a términos presentes, postura que además ha sido avalada y reiterada en diferentes pronunciamientos jurisprudenciales, los cuales fueron recogidos en el Concepto No. 1564 del 18 de mayo de 2004, emitido por la Sala de Consulta y Servicio Civil del Consejo de Estado, y acogidos por esta entidad mediante la Directiva No. 001 del 12 de enero de 2010 expedida por la Secretaría Distrital del Hábitat</w:t>
      </w:r>
      <w:r>
        <w:rPr>
          <w:rFonts w:ascii="Arial" w:eastAsia="Arial" w:hAnsi="Arial" w:cs="Arial"/>
          <w:sz w:val="22"/>
          <w:szCs w:val="22"/>
          <w:highlight w:val="white"/>
          <w:vertAlign w:val="superscript"/>
        </w:rPr>
        <w:footnoteReference w:id="1"/>
      </w:r>
      <w:r>
        <w:rPr>
          <w:rFonts w:ascii="Arial" w:eastAsia="Arial" w:hAnsi="Arial" w:cs="Arial"/>
          <w:sz w:val="22"/>
          <w:szCs w:val="22"/>
          <w:highlight w:val="white"/>
        </w:rPr>
        <w:t xml:space="preserve">. </w:t>
      </w:r>
    </w:p>
    <w:p w14:paraId="54258542" w14:textId="77777777" w:rsidR="001D5080" w:rsidRDefault="001D5080">
      <w:pPr>
        <w:jc w:val="both"/>
        <w:rPr>
          <w:rFonts w:ascii="Arial" w:eastAsia="Arial" w:hAnsi="Arial" w:cs="Arial"/>
          <w:sz w:val="22"/>
          <w:szCs w:val="22"/>
          <w:highlight w:val="white"/>
        </w:rPr>
      </w:pPr>
    </w:p>
    <w:p w14:paraId="3E762944" w14:textId="77777777" w:rsidR="001D5080" w:rsidRDefault="00C47F13">
      <w:pPr>
        <w:tabs>
          <w:tab w:val="left" w:pos="4253"/>
          <w:tab w:val="right" w:pos="8504"/>
        </w:tabs>
        <w:jc w:val="both"/>
        <w:rPr>
          <w:rFonts w:ascii="Arial" w:eastAsia="Arial" w:hAnsi="Arial" w:cs="Arial"/>
          <w:sz w:val="22"/>
          <w:szCs w:val="22"/>
        </w:rPr>
      </w:pPr>
      <w:r>
        <w:rPr>
          <w:rFonts w:ascii="Arial" w:eastAsia="Arial" w:hAnsi="Arial" w:cs="Arial"/>
          <w:sz w:val="22"/>
          <w:szCs w:val="22"/>
        </w:rPr>
        <w:t>Para la actualización de la sanción se da aplicación a la siguiente fórmula:</w:t>
      </w:r>
    </w:p>
    <w:p w14:paraId="5619EBF2" w14:textId="77777777" w:rsidR="001D5080" w:rsidRDefault="001D5080">
      <w:pPr>
        <w:tabs>
          <w:tab w:val="left" w:pos="4253"/>
          <w:tab w:val="right" w:pos="8504"/>
        </w:tabs>
        <w:jc w:val="both"/>
        <w:rPr>
          <w:rFonts w:ascii="Arial" w:eastAsia="Arial" w:hAnsi="Arial" w:cs="Arial"/>
          <w:sz w:val="22"/>
          <w:szCs w:val="22"/>
        </w:rPr>
      </w:pPr>
    </w:p>
    <w:p w14:paraId="3B7D7F60" w14:textId="77777777" w:rsidR="001D5080" w:rsidRDefault="00C47F13">
      <w:pPr>
        <w:jc w:val="center"/>
        <w:rPr>
          <w:rFonts w:ascii="Arial" w:eastAsia="Arial" w:hAnsi="Arial" w:cs="Arial"/>
          <w:sz w:val="22"/>
          <w:szCs w:val="22"/>
        </w:rPr>
      </w:pPr>
      <w:r>
        <w:rPr>
          <w:rFonts w:ascii="Arial" w:eastAsia="Arial" w:hAnsi="Arial" w:cs="Arial"/>
          <w:b/>
          <w:bCs/>
          <w:sz w:val="22"/>
          <w:szCs w:val="22"/>
        </w:rPr>
        <w:t xml:space="preserve">        (</w:t>
      </w:r>
      <w:r>
        <w:rPr>
          <w:rFonts w:ascii="Arial" w:eastAsia="Arial" w:hAnsi="Arial" w:cs="Arial"/>
          <w:sz w:val="22"/>
          <w:szCs w:val="22"/>
        </w:rPr>
        <w:t>IPC-F) 156.94</w:t>
      </w:r>
    </w:p>
    <w:p w14:paraId="588C6542" w14:textId="77777777" w:rsidR="001D5080" w:rsidRDefault="00C47F13">
      <w:pPr>
        <w:jc w:val="center"/>
        <w:rPr>
          <w:rFonts w:ascii="Arial" w:eastAsia="Arial" w:hAnsi="Arial" w:cs="Arial"/>
          <w:sz w:val="22"/>
          <w:szCs w:val="22"/>
        </w:rPr>
      </w:pPr>
      <w:r>
        <w:rPr>
          <w:rFonts w:ascii="Arial" w:eastAsia="Arial" w:hAnsi="Arial" w:cs="Arial"/>
          <w:sz w:val="22"/>
          <w:szCs w:val="22"/>
        </w:rPr>
        <w:t>VP= (VH) $500.000 --------------------------- = $113.724.638</w:t>
      </w:r>
    </w:p>
    <w:p w14:paraId="1D157796" w14:textId="77777777" w:rsidR="001D5080" w:rsidRDefault="00C47F13">
      <w:pPr>
        <w:jc w:val="center"/>
        <w:rPr>
          <w:rFonts w:ascii="Arial" w:eastAsia="Arial" w:hAnsi="Arial" w:cs="Arial"/>
          <w:sz w:val="22"/>
          <w:szCs w:val="22"/>
        </w:rPr>
      </w:pPr>
      <w:r>
        <w:rPr>
          <w:rFonts w:ascii="Arial" w:eastAsia="Arial" w:hAnsi="Arial" w:cs="Arial"/>
          <w:sz w:val="22"/>
          <w:szCs w:val="22"/>
        </w:rPr>
        <w:t xml:space="preserve">       (IPC-I) 0,69</w:t>
      </w:r>
    </w:p>
    <w:p w14:paraId="5B996A77" w14:textId="77777777" w:rsidR="001D5080" w:rsidRDefault="001D5080">
      <w:pPr>
        <w:widowControl w:val="0"/>
        <w:tabs>
          <w:tab w:val="left" w:pos="4253"/>
        </w:tabs>
        <w:jc w:val="both"/>
        <w:rPr>
          <w:rFonts w:ascii="Arial" w:eastAsia="Arial" w:hAnsi="Arial" w:cs="Arial"/>
          <w:sz w:val="22"/>
          <w:szCs w:val="22"/>
        </w:rPr>
      </w:pPr>
    </w:p>
    <w:p w14:paraId="2796412E" w14:textId="77777777" w:rsidR="001D5080" w:rsidRDefault="00C47F13">
      <w:pPr>
        <w:widowControl w:val="0"/>
        <w:tabs>
          <w:tab w:val="left" w:pos="4253"/>
        </w:tabs>
        <w:jc w:val="both"/>
        <w:rPr>
          <w:rFonts w:ascii="Arial" w:eastAsia="Arial" w:hAnsi="Arial" w:cs="Arial"/>
          <w:sz w:val="22"/>
          <w:szCs w:val="22"/>
        </w:rPr>
      </w:pPr>
      <w:r>
        <w:rPr>
          <w:rFonts w:ascii="Arial" w:eastAsia="Arial" w:hAnsi="Arial" w:cs="Arial"/>
          <w:sz w:val="22"/>
          <w:szCs w:val="22"/>
        </w:rPr>
        <w:t xml:space="preserve">Siendo (VP) el valor presente de la sanción, y (VH) al valor de la multa establecida en el Decreto Ley 2610 de 1979. Los índices son los acumulados de los Índices de Precios al Consumidor, siendo entonces el IPC (índice inicial) el correspondiente al mes de octubre de 1979 (fecha de entrada en vigencia el Decreto 2610 de 1979, que es igual a “1”) y el IPC (índice final) que corresponde al último acumulado, certificado mensualmente por el DANE, </w:t>
      </w:r>
      <w:r>
        <w:rPr>
          <w:rFonts w:ascii="Arial" w:eastAsia="Arial" w:hAnsi="Arial" w:cs="Arial"/>
          <w:sz w:val="22"/>
          <w:szCs w:val="22"/>
        </w:rPr>
        <w:lastRenderedPageBreak/>
        <w:t xml:space="preserve">para aplicar en el momento en que se expide el acto administrativo sancionatorio, el cual se puede corroborar en su página web: </w:t>
      </w:r>
      <w:hyperlink r:id="rId7">
        <w:r>
          <w:rPr>
            <w:rFonts w:ascii="Arial" w:eastAsia="Arial" w:hAnsi="Arial" w:cs="Arial"/>
            <w:color w:val="1155CC"/>
            <w:sz w:val="22"/>
            <w:szCs w:val="22"/>
            <w:u w:val="single"/>
          </w:rPr>
          <w:t>http://www.dane.gov.co/</w:t>
        </w:r>
      </w:hyperlink>
      <w:r>
        <w:rPr>
          <w:rFonts w:ascii="Arial" w:eastAsia="Arial" w:hAnsi="Arial" w:cs="Arial"/>
          <w:sz w:val="22"/>
          <w:szCs w:val="22"/>
        </w:rPr>
        <w:t xml:space="preserve">. </w:t>
      </w:r>
    </w:p>
    <w:p w14:paraId="4A4F5568" w14:textId="77777777" w:rsidR="001D5080" w:rsidRDefault="001D5080">
      <w:pPr>
        <w:tabs>
          <w:tab w:val="left" w:pos="4253"/>
          <w:tab w:val="right" w:pos="8504"/>
        </w:tabs>
        <w:jc w:val="both"/>
        <w:rPr>
          <w:rFonts w:ascii="Arial" w:eastAsia="Arial" w:hAnsi="Arial" w:cs="Arial"/>
          <w:sz w:val="22"/>
          <w:szCs w:val="22"/>
        </w:rPr>
      </w:pPr>
    </w:p>
    <w:p w14:paraId="608C4C7F" w14:textId="77777777" w:rsidR="001D5080" w:rsidRDefault="00C47F13">
      <w:pPr>
        <w:tabs>
          <w:tab w:val="center" w:pos="4419"/>
          <w:tab w:val="right" w:pos="8838"/>
          <w:tab w:val="left" w:pos="4253"/>
        </w:tabs>
        <w:jc w:val="both"/>
        <w:rPr>
          <w:rFonts w:ascii="Arial" w:eastAsia="Arial" w:hAnsi="Arial" w:cs="Arial"/>
          <w:sz w:val="22"/>
          <w:szCs w:val="22"/>
        </w:rPr>
      </w:pPr>
      <w:r>
        <w:rPr>
          <w:rFonts w:ascii="Arial" w:eastAsia="Arial" w:hAnsi="Arial" w:cs="Arial"/>
          <w:sz w:val="22"/>
          <w:szCs w:val="22"/>
        </w:rPr>
        <w:t>Por lo tanto, de acuerdo con la fórmula enunciada anteriormente, el valor correspondiente a los DIEZ MIL PESOS ($10.000) M/CTE, que indexados a la fecha corresponden a DOS MILLONES DOSCIENTOS SETENTA Y CUATRO MIL CUATROCIENTOS NOVENTA Y TRES PESOS ($2.274.493) M/CTE, y los QUINIENTOS MIL PESOS ($500.000) M/CTE, que corresponden a CIENTO TRECE MILLONES SETECIENTOS VEINTICUATRO MIL SEISCIENTOS TREINTA Y OCHO PESOS ($113.724.638) M/CTE, lo anterior nos ilustra respecto de los límites de la sanción, más no respecto de la multa a imponer.</w:t>
      </w:r>
    </w:p>
    <w:p w14:paraId="015F9C8D" w14:textId="77777777" w:rsidR="001D5080" w:rsidRDefault="001D5080">
      <w:pPr>
        <w:pBdr>
          <w:top w:val="nil"/>
          <w:left w:val="nil"/>
          <w:bottom w:val="nil"/>
          <w:right w:val="nil"/>
          <w:between w:val="nil"/>
        </w:pBdr>
        <w:tabs>
          <w:tab w:val="center" w:pos="4419"/>
          <w:tab w:val="right" w:pos="8838"/>
          <w:tab w:val="left" w:pos="4253"/>
        </w:tabs>
        <w:jc w:val="both"/>
        <w:rPr>
          <w:rFonts w:ascii="Arial" w:eastAsia="Arial" w:hAnsi="Arial" w:cs="Arial"/>
          <w:sz w:val="22"/>
          <w:szCs w:val="22"/>
        </w:rPr>
      </w:pPr>
    </w:p>
    <w:p w14:paraId="4C057CBA" w14:textId="77777777" w:rsidR="001D5080" w:rsidRDefault="00C47F13">
      <w:pPr>
        <w:tabs>
          <w:tab w:val="left" w:pos="3716"/>
        </w:tabs>
        <w:jc w:val="both"/>
        <w:rPr>
          <w:rFonts w:ascii="Arial" w:eastAsia="Arial" w:hAnsi="Arial" w:cs="Arial"/>
          <w:sz w:val="22"/>
          <w:szCs w:val="22"/>
        </w:rPr>
      </w:pPr>
      <w:r>
        <w:rPr>
          <w:rFonts w:ascii="Arial" w:eastAsia="Arial" w:hAnsi="Arial" w:cs="Arial"/>
          <w:sz w:val="22"/>
          <w:szCs w:val="22"/>
          <w:highlight w:val="white"/>
        </w:rPr>
        <w:t xml:space="preserve">Por lo anterior, </w:t>
      </w:r>
      <w:r>
        <w:rPr>
          <w:rFonts w:ascii="Arial" w:eastAsia="Arial" w:hAnsi="Arial" w:cs="Arial"/>
          <w:sz w:val="22"/>
          <w:szCs w:val="22"/>
        </w:rPr>
        <w:t>teniendo en cuenta que en el derecho administrativo el bien jurídico protegido es el “</w:t>
      </w:r>
      <w:r>
        <w:rPr>
          <w:rFonts w:ascii="Arial" w:eastAsia="Arial" w:hAnsi="Arial" w:cs="Arial"/>
          <w:i/>
          <w:iCs/>
          <w:sz w:val="22"/>
          <w:szCs w:val="22"/>
        </w:rPr>
        <w:t>cumplimiento de la legalidad</w:t>
      </w:r>
      <w:r>
        <w:rPr>
          <w:rFonts w:ascii="Arial" w:eastAsia="Arial" w:hAnsi="Arial" w:cs="Arial"/>
          <w:sz w:val="22"/>
          <w:szCs w:val="22"/>
        </w:rPr>
        <w:t>”, la infracción a una disposición normativa (de carácter legal, reglamentario, regulatorio e incluso contractual) representa en sí misma la antijuridicidad de la conducta y, en consecuencia, el “</w:t>
      </w:r>
      <w:r>
        <w:rPr>
          <w:rFonts w:ascii="Arial" w:eastAsia="Arial" w:hAnsi="Arial" w:cs="Arial"/>
          <w:i/>
          <w:iCs/>
          <w:sz w:val="22"/>
          <w:szCs w:val="22"/>
        </w:rPr>
        <w:t>reproche recae sobre la mera conducta</w:t>
      </w:r>
      <w:r>
        <w:rPr>
          <w:rFonts w:ascii="Arial" w:eastAsia="Arial" w:hAnsi="Arial" w:cs="Arial"/>
          <w:sz w:val="22"/>
          <w:szCs w:val="22"/>
        </w:rPr>
        <w:t>”, o en otras palabras, sobre el incumplimiento de la norma</w:t>
      </w:r>
      <w:r>
        <w:rPr>
          <w:rFonts w:ascii="Arial" w:eastAsia="Arial" w:hAnsi="Arial" w:cs="Arial"/>
          <w:sz w:val="22"/>
          <w:szCs w:val="22"/>
          <w:vertAlign w:val="superscript"/>
        </w:rPr>
        <w:footnoteReference w:id="2"/>
      </w:r>
      <w:r>
        <w:rPr>
          <w:rFonts w:ascii="Arial" w:eastAsia="Arial" w:hAnsi="Arial" w:cs="Arial"/>
          <w:sz w:val="22"/>
          <w:szCs w:val="22"/>
        </w:rPr>
        <w:t xml:space="preserve">; elemento que se encuentra plenamente demostrado frente a los cargos sancionados en la presente investigación administrativa de seguimiento, al no haberse acogido al cumplimiento de las órdenes de hacer </w:t>
      </w:r>
      <w:r>
        <w:rPr>
          <w:rFonts w:ascii="Arial" w:eastAsia="Arial" w:hAnsi="Arial" w:cs="Arial"/>
          <w:sz w:val="22"/>
          <w:szCs w:val="22"/>
          <w:highlight w:val="white"/>
        </w:rPr>
        <w:t xml:space="preserve">y ante la ausencia de prueba en el expediente que confirme que las deficiencias constructivas hayan sido subsanadas de forma definitiva por parte de la responsable, atendiendo los criterios de razonabilidad previstos en el artículo 50 de la Ley 1437 de 2011, esta Dirección impondrá sanción </w:t>
      </w:r>
      <w:r>
        <w:rPr>
          <w:rFonts w:ascii="Arial" w:eastAsia="Arial" w:hAnsi="Arial" w:cs="Arial"/>
          <w:sz w:val="22"/>
          <w:szCs w:val="22"/>
        </w:rPr>
        <w:t xml:space="preserve">por valor de CIENTO DIEZ MIL SEISCIENTOS VEINTICINCO PESOS ($110.625) M/CTE, debiendo ser indexados según lo dicho y la fórmula anteriormente enunciada, así: </w:t>
      </w:r>
    </w:p>
    <w:p w14:paraId="098ECB8F" w14:textId="77777777" w:rsidR="001D5080" w:rsidRDefault="001D5080">
      <w:pPr>
        <w:jc w:val="both"/>
        <w:rPr>
          <w:rFonts w:ascii="Arial" w:eastAsia="Arial" w:hAnsi="Arial" w:cs="Arial"/>
          <w:sz w:val="22"/>
          <w:szCs w:val="22"/>
        </w:rPr>
      </w:pPr>
    </w:p>
    <w:p w14:paraId="4623DFAD" w14:textId="77777777" w:rsidR="001D5080" w:rsidRDefault="00C47F13">
      <w:pPr>
        <w:jc w:val="center"/>
        <w:rPr>
          <w:rFonts w:ascii="Arial" w:eastAsia="Arial" w:hAnsi="Arial" w:cs="Arial"/>
          <w:sz w:val="22"/>
          <w:szCs w:val="22"/>
        </w:rPr>
      </w:pPr>
      <w:r>
        <w:rPr>
          <w:rFonts w:ascii="Arial" w:eastAsia="Arial" w:hAnsi="Arial" w:cs="Arial"/>
          <w:color w:val="EE0000"/>
          <w:sz w:val="22"/>
          <w:szCs w:val="22"/>
        </w:rPr>
        <w:t xml:space="preserve">        </w:t>
      </w:r>
      <w:r>
        <w:rPr>
          <w:rFonts w:ascii="Arial" w:eastAsia="Arial" w:hAnsi="Arial" w:cs="Arial"/>
          <w:sz w:val="22"/>
          <w:szCs w:val="22"/>
        </w:rPr>
        <w:t>(IPC-F) 156.94</w:t>
      </w:r>
    </w:p>
    <w:p w14:paraId="6948C890" w14:textId="77777777" w:rsidR="001D5080" w:rsidRDefault="00C47F13">
      <w:pPr>
        <w:jc w:val="center"/>
        <w:rPr>
          <w:rFonts w:ascii="Arial" w:eastAsia="Arial" w:hAnsi="Arial" w:cs="Arial"/>
          <w:sz w:val="22"/>
          <w:szCs w:val="22"/>
        </w:rPr>
      </w:pPr>
      <w:r>
        <w:rPr>
          <w:rFonts w:ascii="Arial" w:eastAsia="Arial" w:hAnsi="Arial" w:cs="Arial"/>
          <w:sz w:val="22"/>
          <w:szCs w:val="22"/>
        </w:rPr>
        <w:t>VP= (VH) $110.</w:t>
      </w:r>
      <w:proofErr w:type="gramStart"/>
      <w:r>
        <w:rPr>
          <w:rFonts w:ascii="Arial" w:eastAsia="Arial" w:hAnsi="Arial" w:cs="Arial"/>
          <w:sz w:val="22"/>
          <w:szCs w:val="22"/>
        </w:rPr>
        <w:t>625  ---------------------------</w:t>
      </w:r>
      <w:proofErr w:type="gramEnd"/>
      <w:r>
        <w:rPr>
          <w:rFonts w:ascii="Arial" w:eastAsia="Arial" w:hAnsi="Arial" w:cs="Arial"/>
          <w:sz w:val="22"/>
          <w:szCs w:val="22"/>
        </w:rPr>
        <w:t xml:space="preserve"> = $25.161.576</w:t>
      </w:r>
    </w:p>
    <w:p w14:paraId="2843188D" w14:textId="77777777" w:rsidR="001D5080" w:rsidRDefault="00C47F13">
      <w:pPr>
        <w:jc w:val="center"/>
        <w:rPr>
          <w:rFonts w:ascii="Arial" w:eastAsia="Arial" w:hAnsi="Arial" w:cs="Arial"/>
          <w:sz w:val="22"/>
          <w:szCs w:val="22"/>
        </w:rPr>
      </w:pPr>
      <w:r>
        <w:rPr>
          <w:rFonts w:ascii="Arial" w:eastAsia="Arial" w:hAnsi="Arial" w:cs="Arial"/>
          <w:sz w:val="22"/>
          <w:szCs w:val="22"/>
        </w:rPr>
        <w:t xml:space="preserve">      (IPC-I) 0,69</w:t>
      </w:r>
    </w:p>
    <w:p w14:paraId="3111A3B4" w14:textId="77777777" w:rsidR="001D5080" w:rsidRDefault="001D5080">
      <w:pPr>
        <w:jc w:val="both"/>
        <w:rPr>
          <w:rFonts w:ascii="Arial" w:eastAsia="Arial" w:hAnsi="Arial" w:cs="Arial"/>
          <w:sz w:val="22"/>
          <w:szCs w:val="22"/>
        </w:rPr>
      </w:pPr>
    </w:p>
    <w:p w14:paraId="0CC1F900" w14:textId="77777777" w:rsidR="001D5080" w:rsidRDefault="00C47F13">
      <w:pPr>
        <w:jc w:val="both"/>
        <w:rPr>
          <w:rFonts w:ascii="Arial" w:eastAsia="Arial" w:hAnsi="Arial" w:cs="Arial"/>
          <w:sz w:val="22"/>
          <w:szCs w:val="22"/>
          <w:highlight w:val="white"/>
        </w:rPr>
      </w:pPr>
      <w:r>
        <w:rPr>
          <w:rFonts w:ascii="Arial" w:eastAsia="Arial" w:hAnsi="Arial" w:cs="Arial"/>
          <w:sz w:val="22"/>
          <w:szCs w:val="22"/>
        </w:rPr>
        <w:t xml:space="preserve">Que, conforme a la liquidación antes citada, el valor de la multa a imponer a la sociedad enajenadora OBRAS LTDA. - EN LIQUIDACIÒN, Identificada con NIT. 830.073.933-0, </w:t>
      </w:r>
      <w:r>
        <w:rPr>
          <w:rFonts w:ascii="Arial" w:eastAsia="Arial" w:hAnsi="Arial" w:cs="Arial"/>
          <w:sz w:val="22"/>
          <w:szCs w:val="22"/>
          <w:highlight w:val="white"/>
        </w:rPr>
        <w:t>por incumplimiento de la orden de hacer ya mencionada será de VEINTICINCO MILLONES CIENTO SESENTA Y UN MIL QUINIENTOS SETENTA Y SEIS PESOS (</w:t>
      </w:r>
      <w:r>
        <w:rPr>
          <w:rFonts w:ascii="Arial" w:eastAsia="Arial" w:hAnsi="Arial" w:cs="Arial"/>
          <w:sz w:val="22"/>
          <w:szCs w:val="22"/>
        </w:rPr>
        <w:t>$25.161.576</w:t>
      </w:r>
      <w:r>
        <w:rPr>
          <w:rFonts w:ascii="Arial" w:eastAsia="Arial" w:hAnsi="Arial" w:cs="Arial"/>
          <w:sz w:val="22"/>
          <w:szCs w:val="22"/>
          <w:highlight w:val="white"/>
        </w:rPr>
        <w:t>) M/CTE, s</w:t>
      </w:r>
      <w:r>
        <w:rPr>
          <w:rFonts w:ascii="Arial" w:eastAsia="Arial" w:hAnsi="Arial" w:cs="Arial"/>
          <w:sz w:val="22"/>
          <w:szCs w:val="22"/>
        </w:rPr>
        <w:t xml:space="preserve">in perjuicio de que vuelvan a ser impuestas nuevas multas de continuar en incumplimiento.    </w:t>
      </w:r>
    </w:p>
    <w:p w14:paraId="087A28DB" w14:textId="77777777" w:rsidR="001D5080" w:rsidRDefault="001D5080">
      <w:pPr>
        <w:rPr>
          <w:rFonts w:ascii="Arial" w:eastAsia="Arial" w:hAnsi="Arial" w:cs="Arial"/>
          <w:b/>
          <w:bCs/>
          <w:sz w:val="22"/>
          <w:szCs w:val="22"/>
        </w:rPr>
      </w:pPr>
    </w:p>
    <w:p w14:paraId="517E0158" w14:textId="77777777" w:rsidR="001D5080" w:rsidRDefault="00C47F13">
      <w:pPr>
        <w:jc w:val="both"/>
        <w:rPr>
          <w:rFonts w:ascii="Arial" w:eastAsia="Arial" w:hAnsi="Arial" w:cs="Arial"/>
          <w:b/>
          <w:bCs/>
          <w:sz w:val="22"/>
          <w:szCs w:val="22"/>
          <w:highlight w:val="white"/>
        </w:rPr>
      </w:pPr>
      <w:r>
        <w:rPr>
          <w:rFonts w:ascii="Arial" w:eastAsia="Arial" w:hAnsi="Arial" w:cs="Arial"/>
          <w:sz w:val="22"/>
          <w:szCs w:val="22"/>
          <w:highlight w:val="white"/>
        </w:rPr>
        <w:t>En mérito de lo expuesto este Despacho,</w:t>
      </w:r>
      <w:r>
        <w:rPr>
          <w:rFonts w:ascii="Arial" w:eastAsia="Arial" w:hAnsi="Arial" w:cs="Arial"/>
          <w:b/>
          <w:bCs/>
          <w:sz w:val="22"/>
          <w:szCs w:val="22"/>
          <w:highlight w:val="white"/>
        </w:rPr>
        <w:t xml:space="preserve"> </w:t>
      </w:r>
    </w:p>
    <w:p w14:paraId="5318547B" w14:textId="77777777" w:rsidR="001D5080" w:rsidRDefault="001D5080">
      <w:pPr>
        <w:jc w:val="both"/>
        <w:rPr>
          <w:rFonts w:ascii="Arial" w:eastAsia="Arial" w:hAnsi="Arial" w:cs="Arial"/>
          <w:sz w:val="22"/>
          <w:szCs w:val="22"/>
        </w:rPr>
      </w:pPr>
    </w:p>
    <w:p w14:paraId="676DDCEE" w14:textId="77777777" w:rsidR="001D5080" w:rsidRDefault="00C47F13">
      <w:pPr>
        <w:jc w:val="center"/>
        <w:rPr>
          <w:rFonts w:ascii="Arial" w:eastAsia="Arial" w:hAnsi="Arial" w:cs="Arial"/>
          <w:sz w:val="22"/>
          <w:szCs w:val="22"/>
        </w:rPr>
      </w:pPr>
      <w:r>
        <w:rPr>
          <w:rFonts w:ascii="Arial" w:eastAsia="Arial" w:hAnsi="Arial" w:cs="Arial"/>
          <w:b/>
          <w:bCs/>
          <w:sz w:val="22"/>
          <w:szCs w:val="22"/>
          <w:highlight w:val="white"/>
        </w:rPr>
        <w:t>RESUELVE</w:t>
      </w:r>
    </w:p>
    <w:p w14:paraId="7CC18607" w14:textId="77777777" w:rsidR="001D5080" w:rsidRDefault="001D5080">
      <w:pPr>
        <w:jc w:val="both"/>
        <w:rPr>
          <w:rFonts w:ascii="Arial" w:eastAsia="Arial" w:hAnsi="Arial" w:cs="Arial"/>
          <w:sz w:val="22"/>
          <w:szCs w:val="22"/>
        </w:rPr>
      </w:pPr>
    </w:p>
    <w:p w14:paraId="273FA624" w14:textId="77777777" w:rsidR="001D5080" w:rsidRDefault="00C47F13">
      <w:pPr>
        <w:jc w:val="both"/>
        <w:rPr>
          <w:rFonts w:ascii="Arial" w:eastAsia="Arial" w:hAnsi="Arial" w:cs="Arial"/>
          <w:sz w:val="22"/>
          <w:szCs w:val="22"/>
        </w:rPr>
      </w:pPr>
      <w:r>
        <w:rPr>
          <w:rFonts w:ascii="Arial" w:eastAsia="Arial" w:hAnsi="Arial" w:cs="Arial"/>
          <w:b/>
          <w:bCs/>
          <w:sz w:val="22"/>
          <w:szCs w:val="22"/>
        </w:rPr>
        <w:lastRenderedPageBreak/>
        <w:t xml:space="preserve">ARTÍCULO PRIMERO: </w:t>
      </w:r>
      <w:r>
        <w:rPr>
          <w:rFonts w:ascii="Arial" w:eastAsia="Arial" w:hAnsi="Arial" w:cs="Arial"/>
          <w:sz w:val="22"/>
          <w:szCs w:val="22"/>
        </w:rPr>
        <w:t xml:space="preserve">Imponer a la sociedad enajenadora OBRAS LTDA. - EN LIQUIDACIÒN, Identificada con NIT. 830.073.933-0 multa de CIENTO DIEZ MIL SEISCIENTOS VEINTICINCO PESOS ($110.625) M/CTE, que indexados a la fecha corresponden a la suma de </w:t>
      </w:r>
      <w:r>
        <w:rPr>
          <w:rFonts w:ascii="Arial" w:eastAsia="Arial" w:hAnsi="Arial" w:cs="Arial"/>
          <w:sz w:val="22"/>
          <w:szCs w:val="22"/>
          <w:highlight w:val="white"/>
        </w:rPr>
        <w:t>VEINTICINCO MILLONES CIENTO SESENTA Y UN MIL QUINIENTOS SETENTA Y SEIS PESOS (</w:t>
      </w:r>
      <w:r>
        <w:rPr>
          <w:rFonts w:ascii="Arial" w:eastAsia="Arial" w:hAnsi="Arial" w:cs="Arial"/>
          <w:sz w:val="22"/>
          <w:szCs w:val="22"/>
        </w:rPr>
        <w:t>$25.161.576</w:t>
      </w:r>
      <w:r>
        <w:rPr>
          <w:rFonts w:ascii="Arial" w:eastAsia="Arial" w:hAnsi="Arial" w:cs="Arial"/>
          <w:sz w:val="22"/>
          <w:szCs w:val="22"/>
          <w:highlight w:val="white"/>
        </w:rPr>
        <w:t xml:space="preserve">) M/CTE, </w:t>
      </w:r>
      <w:r>
        <w:rPr>
          <w:rFonts w:ascii="Arial" w:eastAsia="Arial" w:hAnsi="Arial" w:cs="Arial"/>
          <w:sz w:val="22"/>
          <w:szCs w:val="22"/>
        </w:rPr>
        <w:t>de conformidad con lo señalado en la parte motiva del presente acto administrativo, sin perjuicio a que se impongan multas sucesivas hasta tanto se dé cumplimiento total a las órdenes emitidas por esta Dirección en la Resolución No. 471 del 14 de abril de 2014</w:t>
      </w:r>
      <w:r>
        <w:rPr>
          <w:rFonts w:ascii="Arial" w:eastAsia="Arial" w:hAnsi="Arial" w:cs="Arial"/>
          <w:i/>
          <w:iCs/>
          <w:sz w:val="22"/>
          <w:szCs w:val="22"/>
        </w:rPr>
        <w:t>, “Por la cual se impone una sanción y se imparte una orden</w:t>
      </w:r>
      <w:r>
        <w:rPr>
          <w:rFonts w:ascii="Arial" w:eastAsia="Arial" w:hAnsi="Arial" w:cs="Arial"/>
          <w:sz w:val="22"/>
          <w:szCs w:val="22"/>
        </w:rPr>
        <w:t xml:space="preserve">”, según lo dispuesto en el inciso segundo numeral 9 del artículo 2º del Decreto Ley 078 de 1987.    </w:t>
      </w:r>
    </w:p>
    <w:p w14:paraId="4FD5869F" w14:textId="77777777" w:rsidR="001D5080" w:rsidRDefault="001D5080">
      <w:pPr>
        <w:pBdr>
          <w:top w:val="nil"/>
          <w:left w:val="nil"/>
          <w:bottom w:val="nil"/>
          <w:right w:val="nil"/>
          <w:between w:val="nil"/>
        </w:pBdr>
        <w:jc w:val="both"/>
        <w:rPr>
          <w:rFonts w:ascii="Arial" w:eastAsia="Arial" w:hAnsi="Arial" w:cs="Arial"/>
          <w:b/>
          <w:bCs/>
          <w:color w:val="000000"/>
          <w:sz w:val="22"/>
          <w:szCs w:val="22"/>
          <w:highlight w:val="white"/>
        </w:rPr>
      </w:pPr>
    </w:p>
    <w:p w14:paraId="4D9A6FE8" w14:textId="77777777" w:rsidR="001D5080" w:rsidRDefault="00C47F13">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sz w:val="22"/>
          <w:szCs w:val="22"/>
          <w:highlight w:val="white"/>
        </w:rPr>
        <w:t>ARTÍCULO</w:t>
      </w:r>
      <w:r>
        <w:rPr>
          <w:rFonts w:ascii="Arial" w:eastAsia="Arial" w:hAnsi="Arial" w:cs="Arial"/>
          <w:color w:val="0F4761"/>
          <w:sz w:val="22"/>
          <w:szCs w:val="22"/>
        </w:rPr>
        <w:t xml:space="preserve"> </w:t>
      </w:r>
      <w:r>
        <w:rPr>
          <w:rFonts w:ascii="Arial" w:eastAsia="Arial" w:hAnsi="Arial" w:cs="Arial"/>
          <w:b/>
          <w:bCs/>
          <w:sz w:val="22"/>
          <w:szCs w:val="22"/>
        </w:rPr>
        <w:t>TERCERO</w:t>
      </w:r>
      <w:r>
        <w:rPr>
          <w:rFonts w:ascii="Arial" w:eastAsia="Arial" w:hAnsi="Arial" w:cs="Arial"/>
          <w:b/>
          <w:bCs/>
          <w:color w:val="000000"/>
          <w:sz w:val="22"/>
          <w:szCs w:val="22"/>
          <w:highlight w:val="white"/>
        </w:rPr>
        <w:t xml:space="preserve">: </w:t>
      </w:r>
      <w:r>
        <w:rPr>
          <w:rFonts w:ascii="Arial" w:eastAsia="Arial" w:hAnsi="Arial" w:cs="Arial"/>
          <w:color w:val="000000"/>
          <w:sz w:val="22"/>
          <w:szCs w:val="22"/>
        </w:rPr>
        <w:t>El pago de la multa impuesta deberá ser cancelada a partir de la ejecutoria de la presente Resolución, trámite para lo cual se requiere solicitar “</w:t>
      </w:r>
      <w:r>
        <w:rPr>
          <w:rFonts w:ascii="Arial" w:eastAsia="Arial" w:hAnsi="Arial" w:cs="Arial"/>
          <w:i/>
          <w:iCs/>
          <w:color w:val="000000"/>
          <w:sz w:val="22"/>
          <w:szCs w:val="22"/>
        </w:rPr>
        <w:t>Formato de Conceptos Varios”</w:t>
      </w:r>
      <w:r>
        <w:rPr>
          <w:rFonts w:ascii="Arial" w:eastAsia="Arial" w:hAnsi="Arial" w:cs="Arial"/>
          <w:color w:val="000000"/>
          <w:sz w:val="22"/>
          <w:szCs w:val="22"/>
        </w:rPr>
        <w:t xml:space="preserve"> al correo electrónico </w:t>
      </w:r>
      <w:hyperlink r:id="rId8">
        <w:r>
          <w:rPr>
            <w:rFonts w:ascii="Arial" w:eastAsia="Arial" w:hAnsi="Arial" w:cs="Arial"/>
            <w:color w:val="000000"/>
            <w:sz w:val="22"/>
            <w:szCs w:val="22"/>
            <w:u w:val="single"/>
          </w:rPr>
          <w:t>cobropersuasivo@habitatbogota.gov.co</w:t>
        </w:r>
      </w:hyperlink>
      <w:r>
        <w:rPr>
          <w:rFonts w:ascii="Arial" w:eastAsia="Arial" w:hAnsi="Arial" w:cs="Arial"/>
          <w:color w:val="000000"/>
          <w:sz w:val="22"/>
          <w:szCs w:val="22"/>
        </w:rPr>
        <w:t xml:space="preserve">, documento con el que podrá realizar el pago en efectivo o cheque de Gerencia nombre de la Dirección Distrital de Tesorería, en cualquier sucursal del Banco de Occidente. Una vez efectuado el pago deberá radicar en nuestra área de correspondencia ubicada en la Carrera 13 52-25 Piso 1 o en el correo electrónico </w:t>
      </w:r>
      <w:hyperlink r:id="rId9">
        <w:r>
          <w:rPr>
            <w:rFonts w:ascii="Arial" w:eastAsia="Arial" w:hAnsi="Arial" w:cs="Arial"/>
            <w:color w:val="000000"/>
            <w:sz w:val="22"/>
            <w:szCs w:val="22"/>
            <w:u w:val="single"/>
          </w:rPr>
          <w:t>ventanilladecorrespondencia@habitatbogota.gov.co</w:t>
        </w:r>
      </w:hyperlink>
      <w:r>
        <w:rPr>
          <w:rFonts w:ascii="Arial" w:eastAsia="Arial" w:hAnsi="Arial" w:cs="Arial"/>
          <w:color w:val="000000"/>
          <w:sz w:val="22"/>
          <w:szCs w:val="22"/>
        </w:rPr>
        <w:t>, una fotocopia del recibo de pago, acompañada de un oficio remisorio.</w:t>
      </w:r>
    </w:p>
    <w:p w14:paraId="38C3F192" w14:textId="77777777" w:rsidR="001D5080" w:rsidRDefault="00C47F13">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w:t>
      </w:r>
    </w:p>
    <w:p w14:paraId="50174328" w14:textId="77777777" w:rsidR="001D5080" w:rsidRDefault="00C47F13">
      <w:pPr>
        <w:pBdr>
          <w:top w:val="nil"/>
          <w:left w:val="nil"/>
          <w:bottom w:val="nil"/>
          <w:right w:val="nil"/>
          <w:between w:val="nil"/>
        </w:pBdr>
        <w:jc w:val="both"/>
        <w:rPr>
          <w:rFonts w:ascii="Arial" w:eastAsia="Arial" w:hAnsi="Arial" w:cs="Arial"/>
          <w:sz w:val="22"/>
          <w:szCs w:val="22"/>
        </w:rPr>
      </w:pPr>
      <w:r>
        <w:rPr>
          <w:rFonts w:ascii="Arial" w:eastAsia="Arial" w:hAnsi="Arial" w:cs="Arial"/>
          <w:b/>
          <w:bCs/>
          <w:color w:val="000000"/>
          <w:sz w:val="22"/>
          <w:szCs w:val="22"/>
        </w:rPr>
        <w:t xml:space="preserve">ARTÍCULO </w:t>
      </w:r>
      <w:r>
        <w:rPr>
          <w:rFonts w:ascii="Arial" w:eastAsia="Arial" w:hAnsi="Arial" w:cs="Arial"/>
          <w:b/>
          <w:bCs/>
          <w:sz w:val="22"/>
          <w:szCs w:val="22"/>
        </w:rPr>
        <w:t>CUARTO</w:t>
      </w:r>
      <w:r>
        <w:rPr>
          <w:rFonts w:ascii="Arial" w:eastAsia="Arial" w:hAnsi="Arial" w:cs="Arial"/>
          <w:b/>
          <w:bCs/>
          <w:color w:val="000000"/>
          <w:sz w:val="22"/>
          <w:szCs w:val="22"/>
        </w:rPr>
        <w:t>: </w:t>
      </w:r>
      <w:r>
        <w:rPr>
          <w:rFonts w:ascii="Arial" w:eastAsia="Arial" w:hAnsi="Arial" w:cs="Arial"/>
          <w:color w:val="000000"/>
          <w:sz w:val="22"/>
          <w:szCs w:val="22"/>
        </w:rPr>
        <w:t xml:space="preserve">La presente Resolución presta mérito ejecutivo y causa intereses moratorios del 12% anual, desde su </w:t>
      </w:r>
      <w:r>
        <w:rPr>
          <w:rFonts w:ascii="Arial" w:eastAsia="Arial" w:hAnsi="Arial" w:cs="Arial"/>
          <w:sz w:val="22"/>
          <w:szCs w:val="22"/>
        </w:rPr>
        <w:t>ejecutoria y hasta el momento en que se realice el pago, según lo establece el Decreto 289 de 2021 artículo 27 inc. 8. De no efectuarse el pago de la multa impuesta dentro del término señalado, éste se hará efectivo por jurisdicción coactiva a través de la Subdirección de Cobro no Tributario de la Secretaría Distrital de Hacienda, con las consecuencias jurídicas y financieras que de ello se derivan.</w:t>
      </w:r>
    </w:p>
    <w:p w14:paraId="27783C8F" w14:textId="77777777" w:rsidR="001D5080" w:rsidRDefault="001D5080">
      <w:pPr>
        <w:pBdr>
          <w:top w:val="nil"/>
          <w:left w:val="nil"/>
          <w:bottom w:val="nil"/>
          <w:right w:val="nil"/>
          <w:between w:val="nil"/>
        </w:pBdr>
        <w:jc w:val="both"/>
        <w:rPr>
          <w:rFonts w:ascii="Arial" w:eastAsia="Arial" w:hAnsi="Arial" w:cs="Arial"/>
          <w:sz w:val="22"/>
          <w:szCs w:val="22"/>
        </w:rPr>
      </w:pPr>
    </w:p>
    <w:p w14:paraId="4AB80A6C" w14:textId="1B775940" w:rsidR="001D5080" w:rsidRDefault="00C47F13">
      <w:pPr>
        <w:pBdr>
          <w:top w:val="nil"/>
          <w:left w:val="nil"/>
          <w:bottom w:val="nil"/>
          <w:right w:val="nil"/>
          <w:between w:val="nil"/>
        </w:pBdr>
        <w:jc w:val="both"/>
        <w:rPr>
          <w:rFonts w:ascii="Arial" w:eastAsia="Arial" w:hAnsi="Arial" w:cs="Arial"/>
          <w:sz w:val="22"/>
          <w:szCs w:val="22"/>
        </w:rPr>
      </w:pPr>
      <w:r>
        <w:rPr>
          <w:rFonts w:ascii="Arial" w:eastAsia="Arial" w:hAnsi="Arial" w:cs="Arial"/>
          <w:b/>
          <w:bCs/>
          <w:sz w:val="22"/>
          <w:szCs w:val="22"/>
        </w:rPr>
        <w:t>ARTÍCULO QUINTO</w:t>
      </w:r>
      <w:r>
        <w:rPr>
          <w:rFonts w:ascii="Arial" w:eastAsia="Arial" w:hAnsi="Arial" w:cs="Arial"/>
          <w:sz w:val="22"/>
          <w:szCs w:val="22"/>
        </w:rPr>
        <w:t>: Notificar el contenido de la presente Resolución al representante legal y/o al apoderado de la sociedad enajenadora OBRAS LTDA. - EN LIQUIDACIÒN, Identificada con NIT. 830.073.933-0</w:t>
      </w:r>
      <w:r>
        <w:rPr>
          <w:rFonts w:ascii="Arial" w:eastAsia="Arial" w:hAnsi="Arial" w:cs="Arial"/>
          <w:color w:val="FF9900"/>
          <w:sz w:val="22"/>
          <w:szCs w:val="22"/>
        </w:rPr>
        <w:t xml:space="preserve"> </w:t>
      </w:r>
      <w:r>
        <w:rPr>
          <w:rFonts w:ascii="Arial" w:eastAsia="Arial" w:hAnsi="Arial" w:cs="Arial"/>
          <w:sz w:val="22"/>
          <w:szCs w:val="22"/>
        </w:rPr>
        <w:t xml:space="preserve">para lo cual deberá </w:t>
      </w:r>
      <w:r w:rsidR="00B03F47">
        <w:rPr>
          <w:rFonts w:ascii="Arial" w:eastAsia="Arial" w:hAnsi="Arial" w:cs="Arial"/>
          <w:sz w:val="22"/>
          <w:szCs w:val="22"/>
        </w:rPr>
        <w:t>notificares al correo</w:t>
      </w:r>
      <w:r>
        <w:rPr>
          <w:rFonts w:ascii="Arial" w:eastAsia="Arial" w:hAnsi="Arial" w:cs="Arial"/>
          <w:sz w:val="22"/>
          <w:szCs w:val="22"/>
        </w:rPr>
        <w:t xml:space="preserve"> electrónic</w:t>
      </w:r>
      <w:r w:rsidR="00B03F47">
        <w:rPr>
          <w:rFonts w:ascii="Arial" w:eastAsia="Arial" w:hAnsi="Arial" w:cs="Arial"/>
          <w:sz w:val="22"/>
          <w:szCs w:val="22"/>
        </w:rPr>
        <w:t>o</w:t>
      </w:r>
      <w:r>
        <w:rPr>
          <w:rFonts w:ascii="Arial" w:eastAsia="Arial" w:hAnsi="Arial" w:cs="Arial"/>
          <w:sz w:val="22"/>
          <w:szCs w:val="22"/>
        </w:rPr>
        <w:t xml:space="preserve"> </w:t>
      </w:r>
      <w:hyperlink r:id="rId10">
        <w:r>
          <w:rPr>
            <w:rFonts w:ascii="Arial" w:eastAsia="Arial" w:hAnsi="Arial" w:cs="Arial"/>
            <w:color w:val="1155CC"/>
            <w:sz w:val="22"/>
            <w:szCs w:val="22"/>
            <w:u w:val="single"/>
          </w:rPr>
          <w:t>hormigonobras@hotmail.com</w:t>
        </w:r>
      </w:hyperlink>
      <w:r w:rsidR="00B03F47">
        <w:rPr>
          <w:rFonts w:ascii="Arial" w:eastAsia="Arial" w:hAnsi="Arial" w:cs="Arial"/>
          <w:sz w:val="22"/>
          <w:szCs w:val="22"/>
        </w:rPr>
        <w:t xml:space="preserve">, de acuerdo con el certificado de cámara de comercio consultado el 04 de mayo de 2026, </w:t>
      </w:r>
      <w:r>
        <w:rPr>
          <w:rFonts w:ascii="Arial" w:eastAsia="Arial" w:hAnsi="Arial" w:cs="Arial"/>
          <w:sz w:val="22"/>
          <w:szCs w:val="22"/>
        </w:rPr>
        <w:t xml:space="preserve">o en su defecto, de conformidad con las normas previstas en la ley 1437 de 2011. </w:t>
      </w:r>
    </w:p>
    <w:p w14:paraId="1174AE39" w14:textId="77777777" w:rsidR="001D5080" w:rsidRDefault="001D5080">
      <w:pPr>
        <w:pBdr>
          <w:top w:val="nil"/>
          <w:left w:val="nil"/>
          <w:bottom w:val="nil"/>
          <w:right w:val="nil"/>
          <w:between w:val="nil"/>
        </w:pBdr>
        <w:jc w:val="both"/>
        <w:rPr>
          <w:rFonts w:ascii="Arial" w:eastAsia="Arial" w:hAnsi="Arial" w:cs="Arial"/>
          <w:b/>
          <w:bCs/>
          <w:sz w:val="22"/>
          <w:szCs w:val="22"/>
          <w:highlight w:val="white"/>
        </w:rPr>
      </w:pPr>
    </w:p>
    <w:p w14:paraId="444C8424" w14:textId="43D45A89" w:rsidR="001D5080" w:rsidRDefault="00C47F13">
      <w:pPr>
        <w:pBdr>
          <w:top w:val="nil"/>
          <w:left w:val="nil"/>
          <w:bottom w:val="nil"/>
          <w:right w:val="nil"/>
          <w:between w:val="nil"/>
        </w:pBdr>
        <w:jc w:val="both"/>
        <w:rPr>
          <w:rFonts w:ascii="Arial" w:eastAsia="Arial" w:hAnsi="Arial" w:cs="Arial"/>
          <w:sz w:val="22"/>
          <w:szCs w:val="22"/>
        </w:rPr>
      </w:pPr>
      <w:r>
        <w:rPr>
          <w:rFonts w:ascii="Arial" w:eastAsia="Arial" w:hAnsi="Arial" w:cs="Arial"/>
          <w:b/>
          <w:bCs/>
          <w:sz w:val="22"/>
          <w:szCs w:val="22"/>
          <w:highlight w:val="white"/>
        </w:rPr>
        <w:t>ARTÌCULO SEXTO</w:t>
      </w:r>
      <w:r>
        <w:rPr>
          <w:rFonts w:ascii="Arial" w:eastAsia="Arial" w:hAnsi="Arial" w:cs="Arial"/>
          <w:b/>
          <w:bCs/>
          <w:sz w:val="22"/>
          <w:szCs w:val="22"/>
        </w:rPr>
        <w:t>:</w:t>
      </w:r>
      <w:r>
        <w:rPr>
          <w:rFonts w:ascii="Arial" w:eastAsia="Arial" w:hAnsi="Arial" w:cs="Arial"/>
          <w:sz w:val="22"/>
          <w:szCs w:val="22"/>
        </w:rPr>
        <w:t xml:space="preserve"> Notificar el contenido de esta Resolución al administrador </w:t>
      </w:r>
      <w:r w:rsidR="00B03F47">
        <w:rPr>
          <w:rFonts w:ascii="Arial" w:eastAsia="Arial" w:hAnsi="Arial" w:cs="Arial"/>
          <w:sz w:val="22"/>
          <w:szCs w:val="22"/>
        </w:rPr>
        <w:t xml:space="preserve">(o quien haga sus veces) </w:t>
      </w:r>
      <w:r>
        <w:rPr>
          <w:rFonts w:ascii="Arial" w:eastAsia="Arial" w:hAnsi="Arial" w:cs="Arial"/>
          <w:sz w:val="22"/>
          <w:szCs w:val="22"/>
        </w:rPr>
        <w:t xml:space="preserve">del proyecto de vivienda CONJUNTO RESIDENCIAL ALTAVISTA TORRES DE APARTAMENTOS, para lo cual deberá enviarse citación para notificación personal a la </w:t>
      </w:r>
      <w:r w:rsidR="00B03F47">
        <w:rPr>
          <w:rFonts w:ascii="Arial" w:eastAsia="Arial" w:hAnsi="Arial" w:cs="Arial"/>
          <w:sz w:val="22"/>
          <w:szCs w:val="22"/>
        </w:rPr>
        <w:t>dirección</w:t>
      </w:r>
      <w:r>
        <w:rPr>
          <w:rFonts w:ascii="Arial" w:eastAsia="Arial" w:hAnsi="Arial" w:cs="Arial"/>
          <w:sz w:val="22"/>
          <w:szCs w:val="22"/>
        </w:rPr>
        <w:t xml:space="preserve"> </w:t>
      </w:r>
      <w:r w:rsidR="00B03F47">
        <w:rPr>
          <w:rFonts w:ascii="Arial" w:eastAsia="Arial" w:hAnsi="Arial" w:cs="Arial"/>
          <w:sz w:val="22"/>
          <w:szCs w:val="22"/>
        </w:rPr>
        <w:t xml:space="preserve">Avenida Calle 32 No. 13-52 oficina de administración de esta ciudad, </w:t>
      </w:r>
      <w:r>
        <w:rPr>
          <w:rFonts w:ascii="Arial" w:eastAsia="Arial" w:hAnsi="Arial" w:cs="Arial"/>
          <w:sz w:val="22"/>
          <w:szCs w:val="22"/>
        </w:rPr>
        <w:t>o, en su defecto, de conformidad con las normas de notificación previstas en la Ley 1437 de 2011.</w:t>
      </w:r>
    </w:p>
    <w:p w14:paraId="46764533" w14:textId="77777777" w:rsidR="001D5080" w:rsidRDefault="001D5080">
      <w:pPr>
        <w:widowControl w:val="0"/>
        <w:jc w:val="both"/>
        <w:rPr>
          <w:rFonts w:ascii="Arial" w:eastAsia="Arial" w:hAnsi="Arial" w:cs="Arial"/>
          <w:b/>
          <w:bCs/>
          <w:sz w:val="22"/>
          <w:szCs w:val="22"/>
        </w:rPr>
      </w:pPr>
    </w:p>
    <w:p w14:paraId="4249937D" w14:textId="77777777" w:rsidR="001D5080" w:rsidRDefault="00C47F13">
      <w:pPr>
        <w:widowControl w:val="0"/>
        <w:jc w:val="both"/>
        <w:rPr>
          <w:rFonts w:ascii="Arial" w:eastAsia="Arial" w:hAnsi="Arial" w:cs="Arial"/>
          <w:sz w:val="22"/>
          <w:szCs w:val="22"/>
        </w:rPr>
      </w:pPr>
      <w:r>
        <w:rPr>
          <w:rFonts w:ascii="Arial" w:eastAsia="Arial" w:hAnsi="Arial" w:cs="Arial"/>
          <w:b/>
          <w:bCs/>
          <w:sz w:val="22"/>
          <w:szCs w:val="22"/>
        </w:rPr>
        <w:t xml:space="preserve">ARTÍCULO SÉPTIMO: </w:t>
      </w:r>
      <w:r>
        <w:rPr>
          <w:rFonts w:ascii="Arial" w:eastAsia="Arial" w:hAnsi="Arial" w:cs="Arial"/>
          <w:sz w:val="22"/>
          <w:szCs w:val="22"/>
        </w:rPr>
        <w:t xml:space="preserve">Contra la presente Resolución procede el recurso de reposición ante este Despacho y el de apelación ante la Subsecretaría de Inspección, Vigilancia y </w:t>
      </w:r>
      <w:r>
        <w:rPr>
          <w:rFonts w:ascii="Arial" w:eastAsia="Arial" w:hAnsi="Arial" w:cs="Arial"/>
          <w:sz w:val="22"/>
          <w:szCs w:val="22"/>
        </w:rPr>
        <w:lastRenderedPageBreak/>
        <w:t>Control de Vivienda de la Secretaría Distrital del Hábitat, los cuales se podrán interponer en la diligencia de notificación personal, o dentro de los diez (10) días hábiles siguientes a ella, o a la notificación por aviso, o al vencimiento del término de publicación según el caso, de conformidad con lo dispuesto en el Código de Procedimiento Administrativo y de lo Contencioso Administrativo.</w:t>
      </w:r>
    </w:p>
    <w:p w14:paraId="1BABF3B6" w14:textId="77777777" w:rsidR="001D5080" w:rsidRDefault="001D5080">
      <w:pPr>
        <w:widowControl w:val="0"/>
        <w:jc w:val="both"/>
        <w:rPr>
          <w:rFonts w:ascii="Arial" w:eastAsia="Arial" w:hAnsi="Arial" w:cs="Arial"/>
          <w:sz w:val="22"/>
          <w:szCs w:val="22"/>
        </w:rPr>
      </w:pPr>
    </w:p>
    <w:p w14:paraId="2EB143AB" w14:textId="77777777" w:rsidR="001D5080" w:rsidRDefault="00C47F13">
      <w:pPr>
        <w:jc w:val="both"/>
        <w:rPr>
          <w:rFonts w:ascii="Arial" w:eastAsia="Arial" w:hAnsi="Arial" w:cs="Arial"/>
          <w:sz w:val="22"/>
          <w:szCs w:val="22"/>
        </w:rPr>
      </w:pPr>
      <w:r>
        <w:rPr>
          <w:rFonts w:ascii="Arial" w:eastAsia="Arial" w:hAnsi="Arial" w:cs="Arial"/>
          <w:b/>
          <w:bCs/>
          <w:sz w:val="22"/>
          <w:szCs w:val="22"/>
        </w:rPr>
        <w:t>ARTÍCULO OCTAVO:</w:t>
      </w:r>
      <w:r>
        <w:rPr>
          <w:rFonts w:ascii="Arial" w:eastAsia="Arial" w:hAnsi="Arial" w:cs="Arial"/>
          <w:sz w:val="22"/>
          <w:szCs w:val="22"/>
        </w:rPr>
        <w:t xml:space="preserve"> La presente Resolución rige a partir de su expedición.</w:t>
      </w:r>
    </w:p>
    <w:p w14:paraId="617DB396" w14:textId="77777777" w:rsidR="001D5080" w:rsidRDefault="001D5080">
      <w:pPr>
        <w:pBdr>
          <w:top w:val="nil"/>
          <w:left w:val="nil"/>
          <w:bottom w:val="nil"/>
          <w:right w:val="nil"/>
          <w:between w:val="nil"/>
        </w:pBdr>
        <w:jc w:val="both"/>
        <w:rPr>
          <w:rFonts w:ascii="Arial" w:eastAsia="Arial" w:hAnsi="Arial" w:cs="Arial"/>
          <w:b/>
          <w:bCs/>
          <w:color w:val="000000"/>
          <w:sz w:val="22"/>
          <w:szCs w:val="22"/>
          <w:highlight w:val="white"/>
        </w:rPr>
      </w:pPr>
    </w:p>
    <w:p w14:paraId="2E5F71BC" w14:textId="77777777" w:rsidR="001D5080" w:rsidRDefault="00C47F13">
      <w:pPr>
        <w:widowControl w:val="0"/>
        <w:jc w:val="center"/>
        <w:rPr>
          <w:rFonts w:ascii="Arial" w:eastAsia="Arial" w:hAnsi="Arial" w:cs="Arial"/>
          <w:b/>
          <w:bCs/>
          <w:sz w:val="22"/>
          <w:szCs w:val="22"/>
          <w:highlight w:val="white"/>
        </w:rPr>
      </w:pPr>
      <w:r>
        <w:rPr>
          <w:rFonts w:ascii="Arial" w:eastAsia="Arial" w:hAnsi="Arial" w:cs="Arial"/>
          <w:b/>
          <w:bCs/>
          <w:sz w:val="22"/>
          <w:szCs w:val="22"/>
          <w:highlight w:val="white"/>
        </w:rPr>
        <w:t>NOTIFÍQUESE Y CÚMPLASE.</w:t>
      </w:r>
    </w:p>
    <w:p w14:paraId="1E9B16E2" w14:textId="77777777" w:rsidR="001D5080" w:rsidRDefault="001D5080">
      <w:pPr>
        <w:rPr>
          <w:rFonts w:ascii="Arial" w:eastAsia="Arial" w:hAnsi="Arial" w:cs="Arial"/>
          <w:b/>
          <w:bCs/>
          <w:sz w:val="22"/>
          <w:szCs w:val="22"/>
        </w:rPr>
      </w:pPr>
    </w:p>
    <w:p w14:paraId="3EC9B0EC" w14:textId="77777777" w:rsidR="001D5080" w:rsidRDefault="001D5080">
      <w:pPr>
        <w:jc w:val="center"/>
        <w:rPr>
          <w:rFonts w:ascii="Arial" w:eastAsia="Arial" w:hAnsi="Arial" w:cs="Arial"/>
          <w:b/>
          <w:bCs/>
          <w:sz w:val="22"/>
          <w:szCs w:val="22"/>
        </w:rPr>
      </w:pPr>
    </w:p>
    <w:p w14:paraId="5A9518E3" w14:textId="77777777" w:rsidR="001D5080" w:rsidRDefault="001D5080">
      <w:pPr>
        <w:rPr>
          <w:rFonts w:ascii="Arial" w:eastAsia="Arial" w:hAnsi="Arial" w:cs="Arial"/>
          <w:b/>
          <w:bCs/>
          <w:sz w:val="22"/>
          <w:szCs w:val="22"/>
        </w:rPr>
      </w:pPr>
    </w:p>
    <w:p w14:paraId="24E89D6D" w14:textId="77777777" w:rsidR="001D5080" w:rsidRDefault="001D5080">
      <w:pPr>
        <w:jc w:val="center"/>
        <w:rPr>
          <w:rFonts w:ascii="Arial" w:eastAsia="Arial" w:hAnsi="Arial" w:cs="Arial"/>
          <w:b/>
          <w:bCs/>
          <w:sz w:val="22"/>
          <w:szCs w:val="22"/>
        </w:rPr>
      </w:pPr>
    </w:p>
    <w:p w14:paraId="0AEC13BA" w14:textId="77777777" w:rsidR="001D5080" w:rsidRDefault="00C47F13">
      <w:pPr>
        <w:jc w:val="center"/>
        <w:rPr>
          <w:rFonts w:ascii="Arial" w:eastAsia="Arial" w:hAnsi="Arial" w:cs="Arial"/>
          <w:b/>
          <w:bCs/>
          <w:sz w:val="22"/>
          <w:szCs w:val="22"/>
        </w:rPr>
      </w:pPr>
      <w:r>
        <w:rPr>
          <w:rFonts w:ascii="Arial" w:eastAsia="Arial" w:hAnsi="Arial" w:cs="Arial"/>
          <w:b/>
          <w:bCs/>
          <w:sz w:val="22"/>
          <w:szCs w:val="22"/>
        </w:rPr>
        <w:t>JAZMÍN ROCÍO OROZCO RODRÍGUEZ</w:t>
      </w:r>
    </w:p>
    <w:p w14:paraId="1DBD71BB" w14:textId="77777777" w:rsidR="001D5080" w:rsidRDefault="00C47F13">
      <w:pPr>
        <w:jc w:val="center"/>
        <w:rPr>
          <w:rFonts w:ascii="Arial" w:eastAsia="Arial" w:hAnsi="Arial" w:cs="Arial"/>
          <w:b/>
          <w:bCs/>
          <w:sz w:val="22"/>
          <w:szCs w:val="22"/>
        </w:rPr>
      </w:pPr>
      <w:r>
        <w:rPr>
          <w:rFonts w:ascii="Arial" w:eastAsia="Arial" w:hAnsi="Arial" w:cs="Arial"/>
          <w:b/>
          <w:bCs/>
          <w:sz w:val="22"/>
          <w:szCs w:val="22"/>
        </w:rPr>
        <w:t>Directora de Investigaciones y Control de Vivienda</w:t>
      </w:r>
    </w:p>
    <w:p w14:paraId="07C0DE64" w14:textId="77777777" w:rsidR="001D5080" w:rsidRDefault="001D5080">
      <w:pPr>
        <w:rPr>
          <w:rFonts w:ascii="Arial" w:eastAsia="Arial" w:hAnsi="Arial" w:cs="Arial"/>
          <w:sz w:val="22"/>
          <w:szCs w:val="22"/>
        </w:rPr>
      </w:pPr>
    </w:p>
    <w:p w14:paraId="0D20526F" w14:textId="77777777" w:rsidR="001D5080" w:rsidRDefault="00C47F13">
      <w:pPr>
        <w:pBdr>
          <w:top w:val="nil"/>
          <w:left w:val="nil"/>
          <w:bottom w:val="nil"/>
          <w:right w:val="nil"/>
          <w:between w:val="nil"/>
        </w:pBdr>
        <w:rPr>
          <w:rFonts w:ascii="Arial" w:eastAsia="Arial" w:hAnsi="Arial" w:cs="Arial"/>
          <w:i/>
          <w:iCs/>
          <w:color w:val="000000"/>
          <w:sz w:val="16"/>
          <w:szCs w:val="16"/>
        </w:rPr>
      </w:pPr>
      <w:r>
        <w:rPr>
          <w:rFonts w:ascii="Arial" w:eastAsia="Arial" w:hAnsi="Arial" w:cs="Arial"/>
          <w:i/>
          <w:iCs/>
          <w:color w:val="000000"/>
          <w:sz w:val="16"/>
          <w:szCs w:val="16"/>
        </w:rPr>
        <w:t>Proyectó: Daniel Santiago Cristiano González- Abogado Contratista – DICV</w:t>
      </w:r>
    </w:p>
    <w:p w14:paraId="2C073754" w14:textId="77777777" w:rsidR="001D5080" w:rsidRDefault="00C47F13">
      <w:pPr>
        <w:pBdr>
          <w:top w:val="nil"/>
          <w:left w:val="nil"/>
          <w:bottom w:val="nil"/>
          <w:right w:val="nil"/>
          <w:between w:val="nil"/>
        </w:pBdr>
        <w:rPr>
          <w:rFonts w:ascii="Arial" w:eastAsia="Arial" w:hAnsi="Arial" w:cs="Arial"/>
          <w:i/>
          <w:iCs/>
          <w:color w:val="000000"/>
          <w:sz w:val="16"/>
          <w:szCs w:val="16"/>
        </w:rPr>
      </w:pPr>
      <w:r>
        <w:rPr>
          <w:rFonts w:ascii="Arial" w:eastAsia="Arial" w:hAnsi="Arial" w:cs="Arial"/>
          <w:i/>
          <w:iCs/>
          <w:color w:val="000000"/>
          <w:sz w:val="16"/>
          <w:szCs w:val="16"/>
        </w:rPr>
        <w:t xml:space="preserve">Revisó: Mauricio Hernández Beltrán – Abogado Contratista – DICV. </w:t>
      </w:r>
    </w:p>
    <w:p w14:paraId="2BE2648A" w14:textId="77777777" w:rsidR="001D5080" w:rsidRDefault="001D5080">
      <w:pPr>
        <w:pBdr>
          <w:top w:val="nil"/>
          <w:left w:val="nil"/>
          <w:bottom w:val="nil"/>
          <w:right w:val="nil"/>
          <w:between w:val="nil"/>
        </w:pBdr>
        <w:rPr>
          <w:rFonts w:ascii="Arial" w:eastAsia="Arial" w:hAnsi="Arial" w:cs="Arial"/>
          <w:i/>
          <w:iCs/>
          <w:color w:val="EE0000"/>
          <w:sz w:val="16"/>
          <w:szCs w:val="16"/>
        </w:rPr>
      </w:pPr>
    </w:p>
    <w:sectPr w:rsidR="001D5080">
      <w:headerReference w:type="default" r:id="rId11"/>
      <w:footerReference w:type="default" r:id="rId12"/>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9D88BE" w14:textId="77777777" w:rsidR="00277B77" w:rsidRDefault="00277B77">
      <w:r>
        <w:separator/>
      </w:r>
    </w:p>
  </w:endnote>
  <w:endnote w:type="continuationSeparator" w:id="0">
    <w:p w14:paraId="7A81067F" w14:textId="77777777" w:rsidR="00277B77" w:rsidRDefault="00277B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Play">
    <w:charset w:val="00"/>
    <w:family w:val="auto"/>
    <w:pitch w:val="default"/>
    <w:embedRegular r:id="rId1" w:fontKey="{21B34A85-D88A-4624-BF50-2A433B7A689B}"/>
  </w:font>
  <w:font w:name="Arial">
    <w:altName w:val="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ADF61775-8C3D-411F-9B54-DC528273CA5A}"/>
    <w:embedBold r:id="rId3" w:fontKey="{444D0EA9-B02E-4CB5-9B6C-05FF3D0D09F5}"/>
  </w:font>
  <w:font w:name="Cambria">
    <w:panose1 w:val="02040503050406030204"/>
    <w:charset w:val="00"/>
    <w:family w:val="roman"/>
    <w:pitch w:val="variable"/>
    <w:sig w:usb0="E00006FF" w:usb1="420024FF" w:usb2="02000000" w:usb3="00000000" w:csb0="0000019F" w:csb1="00000000"/>
    <w:embedRegular r:id="rId4" w:fontKey="{6F974C14-FEB5-4DAD-A9C6-121BDF57C75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C73337" w14:textId="77777777" w:rsidR="001D5080" w:rsidRDefault="00C47F13">
    <w:pPr>
      <w:pBdr>
        <w:top w:val="nil"/>
        <w:left w:val="nil"/>
        <w:bottom w:val="nil"/>
        <w:right w:val="nil"/>
        <w:between w:val="nil"/>
      </w:pBdr>
      <w:tabs>
        <w:tab w:val="center" w:pos="4419"/>
        <w:tab w:val="right" w:pos="8838"/>
      </w:tabs>
      <w:rPr>
        <w:color w:val="000000"/>
        <w:sz w:val="16"/>
        <w:szCs w:val="16"/>
      </w:rPr>
    </w:pPr>
    <w:r>
      <w:rPr>
        <w:rFonts w:ascii="Arial" w:eastAsia="Arial" w:hAnsi="Arial" w:cs="Arial"/>
        <w:color w:val="000000"/>
        <w:sz w:val="16"/>
        <w:szCs w:val="16"/>
      </w:rPr>
      <w:t xml:space="preserve">Secretaría Distrital del Hábitat                             </w:t>
    </w:r>
    <w:r>
      <w:rPr>
        <w:noProof/>
      </w:rPr>
      <w:drawing>
        <wp:anchor distT="0" distB="0" distL="114300" distR="114300" simplePos="0" relativeHeight="251659264" behindDoc="0" locked="0" layoutInCell="1" hidden="0" allowOverlap="1" wp14:anchorId="72C17384" wp14:editId="02799681">
          <wp:simplePos x="0" y="0"/>
          <wp:positionH relativeFrom="column">
            <wp:posOffset>2239010</wp:posOffset>
          </wp:positionH>
          <wp:positionV relativeFrom="paragraph">
            <wp:posOffset>74295</wp:posOffset>
          </wp:positionV>
          <wp:extent cx="2133600" cy="861695"/>
          <wp:effectExtent l="0" t="0" r="0" b="0"/>
          <wp:wrapSquare wrapText="bothSides" distT="0" distB="0" distL="114300" distR="114300"/>
          <wp:docPr id="3" name="image1.png" descr="Imagen que contiene Text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png" descr="Imagen que contiene Texto&#10;&#10;El contenido generado por IA puede ser incorrecto."/>
                  <pic:cNvPicPr preferRelativeResize="0"/>
                </pic:nvPicPr>
                <pic:blipFill>
                  <a:blip r:embed="rId1"/>
                  <a:srcRect/>
                  <a:stretch>
                    <a:fillRect/>
                  </a:stretch>
                </pic:blipFill>
                <pic:spPr>
                  <a:xfrm>
                    <a:off x="0" y="0"/>
                    <a:ext cx="2133600" cy="861695"/>
                  </a:xfrm>
                  <a:prstGeom prst="rect">
                    <a:avLst/>
                  </a:prstGeom>
                  <a:ln/>
                </pic:spPr>
              </pic:pic>
            </a:graphicData>
          </a:graphic>
        </wp:anchor>
      </w:drawing>
    </w:r>
  </w:p>
  <w:p w14:paraId="6B04C9FA" w14:textId="77777777" w:rsidR="001D5080" w:rsidRDefault="00C47F13">
    <w:pPr>
      <w:pBdr>
        <w:top w:val="nil"/>
        <w:left w:val="nil"/>
        <w:bottom w:val="nil"/>
        <w:right w:val="nil"/>
        <w:between w:val="nil"/>
      </w:pBdr>
      <w:tabs>
        <w:tab w:val="center" w:pos="4419"/>
        <w:tab w:val="right" w:pos="8838"/>
      </w:tabs>
      <w:rPr>
        <w:color w:val="000000"/>
      </w:rPr>
    </w:pPr>
    <w:r>
      <w:rPr>
        <w:color w:val="000000"/>
      </w:rPr>
      <w:t xml:space="preserve">Página </w:t>
    </w:r>
    <w:r>
      <w:rPr>
        <w:b/>
        <w:bCs/>
        <w:color w:val="000000"/>
      </w:rPr>
      <w:fldChar w:fldCharType="begin"/>
    </w:r>
    <w:r>
      <w:rPr>
        <w:b/>
        <w:bCs/>
        <w:color w:val="000000"/>
      </w:rPr>
      <w:instrText>PAGE</w:instrText>
    </w:r>
    <w:r>
      <w:rPr>
        <w:b/>
        <w:bCs/>
        <w:color w:val="000000"/>
      </w:rPr>
      <w:fldChar w:fldCharType="separate"/>
    </w:r>
    <w:r w:rsidR="00B03F47">
      <w:rPr>
        <w:b/>
        <w:bCs/>
        <w:noProof/>
        <w:color w:val="000000"/>
      </w:rPr>
      <w:t>1</w:t>
    </w:r>
    <w:r>
      <w:rPr>
        <w:b/>
        <w:bCs/>
        <w:color w:val="000000"/>
      </w:rPr>
      <w:fldChar w:fldCharType="end"/>
    </w:r>
    <w:r>
      <w:rPr>
        <w:color w:val="000000"/>
      </w:rPr>
      <w:t xml:space="preserve"> de </w:t>
    </w:r>
    <w:r>
      <w:rPr>
        <w:b/>
        <w:bCs/>
        <w:color w:val="000000"/>
      </w:rPr>
      <w:fldChar w:fldCharType="begin"/>
    </w:r>
    <w:r>
      <w:rPr>
        <w:b/>
        <w:bCs/>
        <w:color w:val="000000"/>
      </w:rPr>
      <w:instrText>NUMPAGES</w:instrText>
    </w:r>
    <w:r>
      <w:rPr>
        <w:b/>
        <w:bCs/>
        <w:color w:val="000000"/>
      </w:rPr>
      <w:fldChar w:fldCharType="separate"/>
    </w:r>
    <w:r w:rsidR="00B03F47">
      <w:rPr>
        <w:b/>
        <w:bCs/>
        <w:noProof/>
        <w:color w:val="000000"/>
      </w:rPr>
      <w:t>2</w:t>
    </w:r>
    <w:r>
      <w:rPr>
        <w:b/>
        <w:bCs/>
        <w:color w:val="000000"/>
      </w:rPr>
      <w:fldChar w:fldCharType="end"/>
    </w:r>
  </w:p>
  <w:p w14:paraId="31C5658C" w14:textId="77777777" w:rsidR="001D5080" w:rsidRDefault="00C47F13">
    <w:pPr>
      <w:pBdr>
        <w:top w:val="nil"/>
        <w:left w:val="nil"/>
        <w:bottom w:val="nil"/>
        <w:right w:val="nil"/>
        <w:between w:val="nil"/>
      </w:pBdr>
      <w:tabs>
        <w:tab w:val="center" w:pos="4419"/>
        <w:tab w:val="right" w:pos="8838"/>
      </w:tabs>
      <w:rPr>
        <w:rFonts w:ascii="Arial" w:eastAsia="Arial" w:hAnsi="Arial" w:cs="Arial"/>
        <w:b/>
        <w:bCs/>
        <w:color w:val="000000"/>
        <w:sz w:val="14"/>
        <w:szCs w:val="14"/>
      </w:rPr>
    </w:pPr>
    <w:r>
      <w:rPr>
        <w:rFonts w:ascii="Arial" w:eastAsia="Arial" w:hAnsi="Arial" w:cs="Arial"/>
        <w:color w:val="000000"/>
        <w:sz w:val="16"/>
        <w:szCs w:val="16"/>
      </w:rPr>
      <w:t xml:space="preserve">Servicio al ciudadano: Carrera 13 No. 52-13       </w:t>
    </w:r>
  </w:p>
  <w:p w14:paraId="7CD56AB9" w14:textId="77777777" w:rsidR="001D5080" w:rsidRDefault="00C47F13">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 xml:space="preserve">Sede Principal: Calle 52 No. 13-64                     </w:t>
    </w:r>
    <w:r>
      <w:rPr>
        <w:noProof/>
      </w:rPr>
      <mc:AlternateContent>
        <mc:Choice Requires="wps">
          <w:drawing>
            <wp:anchor distT="45720" distB="45720" distL="114300" distR="114300" simplePos="0" relativeHeight="251660288" behindDoc="0" locked="0" layoutInCell="1" hidden="0" allowOverlap="1" wp14:anchorId="0D8F769C" wp14:editId="53C5E470">
              <wp:simplePos x="0" y="0"/>
              <wp:positionH relativeFrom="column">
                <wp:posOffset>5141919</wp:posOffset>
              </wp:positionH>
              <wp:positionV relativeFrom="paragraph">
                <wp:posOffset>39690</wp:posOffset>
              </wp:positionV>
              <wp:extent cx="1165224" cy="822959"/>
              <wp:effectExtent l="0" t="0" r="0" b="0"/>
              <wp:wrapSquare wrapText="bothSides" distT="45720" distB="45720" distL="114300" distR="114300"/>
              <wp:docPr id="1" name="Rectángulo 1"/>
              <wp:cNvGraphicFramePr/>
              <a:graphic xmlns:a="http://schemas.openxmlformats.org/drawingml/2006/main">
                <a:graphicData uri="http://schemas.microsoft.com/office/word/2010/wordprocessingShape">
                  <wps:wsp>
                    <wps:cNvSpPr/>
                    <wps:spPr>
                      <a:xfrm>
                        <a:off x="4825301" y="3430433"/>
                        <a:ext cx="1041399" cy="699134"/>
                      </a:xfrm>
                      <a:prstGeom prst="rect">
                        <a:avLst/>
                      </a:prstGeom>
                      <a:solidFill>
                        <a:srgbClr val="FFFFFF"/>
                      </a:solidFill>
                      <a:ln w="9525" cap="flat" cmpd="sng">
                        <a:solidFill>
                          <a:schemeClr val="lt1"/>
                        </a:solidFill>
                        <a:prstDash val="solid"/>
                        <a:miter lim="800000"/>
                        <a:headEnd type="none" w="sm" len="sm"/>
                        <a:tailEnd type="none" w="sm" len="sm"/>
                      </a:ln>
                    </wps:spPr>
                    <wps:txbx>
                      <w:txbxContent>
                        <w:p w14:paraId="370D7C97" w14:textId="77777777" w:rsidR="001D5080" w:rsidRDefault="00C47F13">
                          <w:pPr>
                            <w:jc w:val="center"/>
                            <w:textDirection w:val="btLr"/>
                          </w:pPr>
                          <w:r>
                            <w:rPr>
                              <w:rFonts w:ascii="Arial" w:eastAsia="Arial" w:hAnsi="Arial" w:cs="Arial"/>
                              <w:color w:val="000000"/>
                              <w:sz w:val="14"/>
                            </w:rPr>
                            <w:t>PG02-PL03 V2</w:t>
                          </w:r>
                        </w:p>
                      </w:txbxContent>
                    </wps:txbx>
                    <wps:bodyPr spcFirstLastPara="1" wrap="square" lIns="91425" tIns="45700" rIns="91425" bIns="45700" anchor="t" anchorCtr="0">
                      <a:noAutofit/>
                    </wps:bodyPr>
                  </wps:wsp>
                </a:graphicData>
              </a:graphic>
            </wp:anchor>
          </w:drawing>
        </mc:Choice>
        <mc:Fallback>
          <w:pict>
            <v:rect w14:anchorId="0D8F769C" id="Rectángulo 1" o:spid="_x0000_s1026" style="position:absolute;margin-left:404.9pt;margin-top:3.15pt;width:91.75pt;height:64.8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" strokecolor="white [3201]">
              <v:stroke startarrowwidth="narrow" startarrowlength="short" endarrowwidth="narrow" endarrowlength="short"/>
              <v:textbox inset="2.53958mm,1.2694mm,2.53958mm,1.2694mm">
                <w:txbxContent>
                  <w:p w14:paraId="370D7C97" w14:textId="77777777" w:rsidR="001D5080" w:rsidRDefault="00C47F13">
                    <w:pPr>
                      <w:jc w:val="center"/>
                      <w:textDirection w:val="btLr"/>
                    </w:pPr>
                    <w:r>
                      <w:rPr>
                        <w:rFonts w:ascii="Arial" w:eastAsia="Arial" w:hAnsi="Arial" w:cs="Arial"/>
                        <w:color w:val="000000"/>
                        <w:sz w:val="14"/>
                      </w:rPr>
                      <w:t>PG02-PL03 V2</w:t>
                    </w:r>
                  </w:p>
                </w:txbxContent>
              </v:textbox>
              <w10:wrap type="square"/>
            </v:rect>
          </w:pict>
        </mc:Fallback>
      </mc:AlternateContent>
    </w:r>
  </w:p>
  <w:p w14:paraId="226C2442" w14:textId="77777777" w:rsidR="001D5080" w:rsidRDefault="00C47F13">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Teléfono: 601-3581600</w:t>
    </w:r>
  </w:p>
  <w:p w14:paraId="29B7C4EE" w14:textId="77777777" w:rsidR="001D5080" w:rsidRPr="00B03F47" w:rsidRDefault="00C47F13">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r w:rsidRPr="00B03F47">
      <w:rPr>
        <w:rFonts w:ascii="Arial" w:eastAsia="Arial" w:hAnsi="Arial" w:cs="Arial"/>
        <w:color w:val="000000"/>
        <w:sz w:val="16"/>
        <w:szCs w:val="16"/>
        <w:lang w:val="pt-PT"/>
      </w:rPr>
      <w:t xml:space="preserve">Código Postal: 110231 </w:t>
    </w:r>
  </w:p>
  <w:p w14:paraId="0A0AA6D8" w14:textId="77777777" w:rsidR="001D5080" w:rsidRPr="00B03F47" w:rsidRDefault="00C47F13">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r>
      <w:fldChar w:fldCharType="begin"/>
    </w:r>
    <w:r w:rsidRPr="004B2345">
      <w:rPr>
        <w:lang w:val="pt-PT"/>
      </w:rPr>
      <w:instrText>HYPERLINK "http://www.habitatbogota.gov.co" \h</w:instrText>
    </w:r>
    <w:r>
      <w:fldChar w:fldCharType="separate"/>
    </w:r>
    <w:r w:rsidRPr="00B03F47">
      <w:rPr>
        <w:rFonts w:ascii="Arial" w:eastAsia="Arial" w:hAnsi="Arial" w:cs="Arial"/>
        <w:color w:val="0000FF"/>
        <w:sz w:val="16"/>
        <w:szCs w:val="16"/>
        <w:u w:val="single"/>
        <w:lang w:val="pt-PT"/>
      </w:rPr>
      <w:t>www.habitatbogota.gov.co</w:t>
    </w:r>
    <w:r>
      <w:fldChar w:fldCharType="end"/>
    </w:r>
    <w:r w:rsidRPr="00B03F47">
      <w:rPr>
        <w:rFonts w:ascii="Arial" w:eastAsia="Arial" w:hAnsi="Arial" w:cs="Arial"/>
        <w:color w:val="000000"/>
        <w:sz w:val="16"/>
        <w:szCs w:val="16"/>
        <w:lang w:val="pt-PT"/>
      </w:rPr>
      <w:t xml:space="preserve">                 </w:t>
    </w:r>
  </w:p>
  <w:p w14:paraId="55AF71C7" w14:textId="77777777" w:rsidR="001D5080" w:rsidRPr="00B03F47" w:rsidRDefault="001D5080">
    <w:pPr>
      <w:pBdr>
        <w:top w:val="nil"/>
        <w:left w:val="nil"/>
        <w:bottom w:val="nil"/>
        <w:right w:val="nil"/>
        <w:between w:val="nil"/>
      </w:pBdr>
      <w:tabs>
        <w:tab w:val="center" w:pos="4419"/>
        <w:tab w:val="right" w:pos="8838"/>
      </w:tabs>
      <w:rPr>
        <w:color w:val="000000"/>
        <w:lang w:val="pt-P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53DAE5" w14:textId="77777777" w:rsidR="00277B77" w:rsidRDefault="00277B77">
      <w:r>
        <w:separator/>
      </w:r>
    </w:p>
  </w:footnote>
  <w:footnote w:type="continuationSeparator" w:id="0">
    <w:p w14:paraId="51E77BBB" w14:textId="77777777" w:rsidR="00277B77" w:rsidRDefault="00277B77">
      <w:r>
        <w:continuationSeparator/>
      </w:r>
    </w:p>
  </w:footnote>
  <w:footnote w:id="1">
    <w:p w14:paraId="69D97C25" w14:textId="77777777" w:rsidR="001D5080" w:rsidRDefault="00C47F13">
      <w:pPr>
        <w:pBdr>
          <w:top w:val="nil"/>
          <w:left w:val="nil"/>
          <w:bottom w:val="nil"/>
          <w:right w:val="nil"/>
          <w:between w:val="nil"/>
        </w:pBdr>
        <w:jc w:val="both"/>
        <w:rPr>
          <w:rFonts w:ascii="Arial" w:eastAsia="Arial" w:hAnsi="Arial" w:cs="Arial"/>
          <w:color w:val="000000"/>
          <w:sz w:val="16"/>
          <w:szCs w:val="16"/>
        </w:rPr>
      </w:pPr>
      <w:r>
        <w:rPr>
          <w:vertAlign w:val="superscript"/>
        </w:rPr>
        <w:footnoteRef/>
      </w:r>
      <w:r>
        <w:rPr>
          <w:rFonts w:ascii="Arial" w:eastAsia="Arial" w:hAnsi="Arial" w:cs="Arial"/>
          <w:color w:val="000000"/>
          <w:sz w:val="16"/>
          <w:szCs w:val="16"/>
        </w:rPr>
        <w:t xml:space="preserve"> </w:t>
      </w:r>
      <w:r>
        <w:rPr>
          <w:rFonts w:ascii="Arial" w:eastAsia="Arial" w:hAnsi="Arial" w:cs="Arial"/>
          <w:color w:val="000000"/>
          <w:sz w:val="16"/>
          <w:szCs w:val="16"/>
          <w:highlight w:val="white"/>
        </w:rPr>
        <w:t>el Consejo de Estado - Sala de lo Contencioso Administrativo - Sección Primera, al evaluar la legalidad de la Directiva 001 del 11 de octubre de 2004 expedida por el entonces Subdirector de Control de Vivienda del Departamento Técnico Administrativo del Medio Ambiente de Bogotá D.C. (DAMA), se pronunció indicando que la actualización dineraria de las multas impuestas por este Despacho son totalmente ajustadas a Derecho, para una mayor ilustración se procede a transcribir unos apartes del fallo contenido en el expediente No. 2006-00986-01 del treinta (30) de mayo de dos mil trece (2013)</w:t>
      </w:r>
    </w:p>
  </w:footnote>
  <w:footnote w:id="2">
    <w:p w14:paraId="577C8104" w14:textId="77777777" w:rsidR="001D5080" w:rsidRDefault="00C47F13">
      <w:pPr>
        <w:pBdr>
          <w:top w:val="nil"/>
          <w:left w:val="nil"/>
          <w:bottom w:val="nil"/>
          <w:right w:val="nil"/>
          <w:between w:val="nil"/>
        </w:pBdr>
        <w:jc w:val="both"/>
        <w:rPr>
          <w:rFonts w:ascii="Arial" w:eastAsia="Arial" w:hAnsi="Arial" w:cs="Arial"/>
          <w:color w:val="000000"/>
          <w:sz w:val="16"/>
          <w:szCs w:val="16"/>
        </w:rPr>
      </w:pPr>
      <w:r>
        <w:rPr>
          <w:vertAlign w:val="superscript"/>
        </w:rPr>
        <w:footnoteRef/>
      </w:r>
      <w:r>
        <w:rPr>
          <w:rFonts w:ascii="Arial" w:eastAsia="Arial" w:hAnsi="Arial" w:cs="Arial"/>
          <w:color w:val="000000"/>
          <w:sz w:val="16"/>
          <w:szCs w:val="16"/>
        </w:rPr>
        <w:t xml:space="preserve"> Consejo de Estado de Colombia, Sección Tercera, Subsección C,</w:t>
      </w:r>
      <w:r>
        <w:rPr>
          <w:rFonts w:ascii="Arial" w:eastAsia="Arial" w:hAnsi="Arial" w:cs="Arial"/>
          <w:b/>
          <w:bCs/>
          <w:color w:val="000000"/>
          <w:sz w:val="16"/>
          <w:szCs w:val="16"/>
        </w:rPr>
        <w:t xml:space="preserve"> </w:t>
      </w:r>
      <w:r>
        <w:rPr>
          <w:rFonts w:ascii="Arial" w:eastAsia="Arial" w:hAnsi="Arial" w:cs="Arial"/>
          <w:color w:val="000000"/>
          <w:sz w:val="16"/>
          <w:szCs w:val="16"/>
        </w:rPr>
        <w:t xml:space="preserve">05001-23-24-000-1996-00680-01(20738), C.P, Gil Botero, Enrique. </w:t>
      </w:r>
    </w:p>
    <w:p w14:paraId="5E6E4DAB" w14:textId="77777777" w:rsidR="001D5080" w:rsidRDefault="00C47F13">
      <w:pPr>
        <w:pBdr>
          <w:top w:val="nil"/>
          <w:left w:val="nil"/>
          <w:bottom w:val="nil"/>
          <w:right w:val="nil"/>
          <w:between w:val="nil"/>
        </w:pBdr>
        <w:jc w:val="both"/>
        <w:rPr>
          <w:rFonts w:ascii="Arial" w:eastAsia="Arial" w:hAnsi="Arial" w:cs="Arial"/>
          <w:color w:val="000000"/>
          <w:sz w:val="16"/>
          <w:szCs w:val="16"/>
        </w:rPr>
      </w:pPr>
      <w:r>
        <w:rPr>
          <w:rFonts w:ascii="Arial" w:eastAsia="Arial" w:hAnsi="Arial" w:cs="Arial"/>
          <w:color w:val="000000"/>
          <w:sz w:val="16"/>
          <w:szCs w:val="16"/>
        </w:rPr>
        <w:t xml:space="preserve"> .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767A7F" w14:textId="77777777" w:rsidR="001D5080" w:rsidRDefault="001D5080">
    <w:pPr>
      <w:rPr>
        <w:b/>
        <w:bCs/>
        <w:sz w:val="22"/>
        <w:szCs w:val="22"/>
      </w:rPr>
    </w:pPr>
    <w:bookmarkStart w:id="6" w:name="_heading=h.g0ck6mntm1z9" w:colFirst="0" w:colLast="0"/>
    <w:bookmarkEnd w:id="6"/>
  </w:p>
  <w:p w14:paraId="664610D5" w14:textId="77777777" w:rsidR="001D5080" w:rsidRDefault="001D5080">
    <w:pPr>
      <w:rPr>
        <w:b/>
        <w:bCs/>
        <w:sz w:val="22"/>
        <w:szCs w:val="22"/>
      </w:rPr>
    </w:pPr>
  </w:p>
  <w:p w14:paraId="2900AC26" w14:textId="77777777" w:rsidR="001D5080" w:rsidRDefault="001D5080">
    <w:pPr>
      <w:rPr>
        <w:b/>
        <w:bCs/>
        <w:sz w:val="22"/>
        <w:szCs w:val="22"/>
      </w:rPr>
    </w:pPr>
  </w:p>
  <w:p w14:paraId="19D8EF72" w14:textId="77777777" w:rsidR="001D5080" w:rsidRDefault="00C47F13">
    <w:pPr>
      <w:jc w:val="center"/>
      <w:rPr>
        <w:rFonts w:ascii="Arial" w:eastAsia="Arial" w:hAnsi="Arial" w:cs="Arial"/>
        <w:b/>
        <w:bCs/>
        <w:sz w:val="22"/>
        <w:szCs w:val="22"/>
      </w:rPr>
    </w:pPr>
    <w:r>
      <w:rPr>
        <w:rFonts w:ascii="Arial" w:eastAsia="Arial" w:hAnsi="Arial" w:cs="Arial"/>
        <w:b/>
        <w:bCs/>
        <w:sz w:val="22"/>
        <w:szCs w:val="22"/>
      </w:rPr>
      <w:t xml:space="preserve">RESOLUCIÓN No. DEL ____DE ____ </w:t>
    </w:r>
    <w:proofErr w:type="spellStart"/>
    <w:r>
      <w:rPr>
        <w:rFonts w:ascii="Arial" w:eastAsia="Arial" w:hAnsi="Arial" w:cs="Arial"/>
        <w:b/>
        <w:bCs/>
        <w:sz w:val="22"/>
        <w:szCs w:val="22"/>
      </w:rPr>
      <w:t>DE</w:t>
    </w:r>
    <w:proofErr w:type="spellEnd"/>
    <w:r>
      <w:rPr>
        <w:rFonts w:ascii="Arial" w:eastAsia="Arial" w:hAnsi="Arial" w:cs="Arial"/>
        <w:b/>
        <w:bCs/>
        <w:sz w:val="22"/>
        <w:szCs w:val="22"/>
      </w:rPr>
      <w:t xml:space="preserve"> 2026</w:t>
    </w:r>
  </w:p>
  <w:p w14:paraId="3266A063" w14:textId="77777777" w:rsidR="001D5080" w:rsidRDefault="00C47F13">
    <w:pPr>
      <w:jc w:val="center"/>
      <w:rPr>
        <w:rFonts w:ascii="Arial" w:eastAsia="Arial" w:hAnsi="Arial" w:cs="Arial"/>
        <w:i/>
        <w:iCs/>
        <w:sz w:val="22"/>
        <w:szCs w:val="22"/>
      </w:rPr>
    </w:pPr>
    <w:r>
      <w:rPr>
        <w:rFonts w:ascii="Arial" w:eastAsia="Arial" w:hAnsi="Arial" w:cs="Arial"/>
        <w:i/>
        <w:iCs/>
        <w:sz w:val="22"/>
        <w:szCs w:val="22"/>
      </w:rPr>
      <w:t>“Por la cual se impone una multa por incumplimiento a una orden”</w:t>
    </w:r>
  </w:p>
  <w:p w14:paraId="2623C3BE" w14:textId="77777777" w:rsidR="001D5080" w:rsidRDefault="00C47F13">
    <w:pPr>
      <w:rPr>
        <w:rFonts w:ascii="Calibri" w:eastAsia="Calibri" w:hAnsi="Calibri" w:cs="Calibri"/>
        <w:b/>
        <w:bCs/>
        <w:sz w:val="22"/>
        <w:szCs w:val="22"/>
      </w:rPr>
    </w:pPr>
    <w:r>
      <w:rPr>
        <w:rFonts w:ascii="Calibri" w:eastAsia="Calibri" w:hAnsi="Calibri" w:cs="Calibri"/>
        <w:noProof/>
        <w:sz w:val="22"/>
        <w:szCs w:val="22"/>
      </w:rPr>
      <w:drawing>
        <wp:anchor distT="0" distB="0" distL="114300" distR="114300" simplePos="0" relativeHeight="251658240" behindDoc="0" locked="0" layoutInCell="1" hidden="0" allowOverlap="1" wp14:anchorId="02F7BB97" wp14:editId="74E43B3C">
          <wp:simplePos x="0" y="0"/>
          <wp:positionH relativeFrom="margin">
            <wp:align>center</wp:align>
          </wp:positionH>
          <wp:positionV relativeFrom="page">
            <wp:posOffset>277495</wp:posOffset>
          </wp:positionV>
          <wp:extent cx="1333500" cy="469900"/>
          <wp:effectExtent l="0" t="0" r="0" b="0"/>
          <wp:wrapSquare wrapText="bothSides" distT="0" distB="0" distL="114300" distR="11430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333500" cy="469900"/>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080"/>
    <w:rsid w:val="001D5080"/>
    <w:rsid w:val="00277B77"/>
    <w:rsid w:val="004B2345"/>
    <w:rsid w:val="00B03F47"/>
    <w:rsid w:val="00C47F13"/>
    <w:rsid w:val="00F55C1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F68A2A"/>
  <w15:docId w15:val="{A62513F4-32A3-4FCD-BB1A-2157E75958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_tradnl"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outlineLvl w:val="5"/>
    </w:pPr>
    <w:rPr>
      <w:i/>
      <w:iCs/>
      <w:color w:val="595959"/>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paragraph" w:styleId="Subttulo">
    <w:name w:val="Subtitle"/>
    <w:basedOn w:val="Normal"/>
    <w:next w:val="Normal"/>
    <w:uiPriority w:val="11"/>
    <w:qFormat/>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cobropersuasivo@habitatbogota.gov.co"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www.dane.gov.co/" TargetMode="External"/><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hyperlink" Target="mailto:hormigonobras@hotmail.com" TargetMode="External"/><Relationship Id="rId4" Type="http://schemas.openxmlformats.org/officeDocument/2006/relationships/webSettings" Target="webSettings.xml"/><Relationship Id="rId9" Type="http://schemas.openxmlformats.org/officeDocument/2006/relationships/hyperlink" Target="mailto:ventanilladecorrespondencia@habitatbogota.gov.co"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VMqZ4mbh3smzmF9tNQR0rFje81w==">CgMxLjAyDmguNjN1OXh6bWtxenZzMg5oLnR6aWliOG1qdTk0ODIOaC52bXE1amxzeWxjamgyDmguNG00cTZiMXRqZ3ZnMg5oLnduZ2xtbTFreHdscjIJaC4xdDNoNXNmMg5oLmcwY2s2bW50bTF6OTgAciExcGRnUUJGR0RzU1U4bzBsTlVuY1V1QXpEX3dSRFhCWkI=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5124</Words>
  <Characters>28182</Characters>
  <Application>Microsoft Office Word</Application>
  <DocSecurity>0</DocSecurity>
  <Lines>234</Lines>
  <Paragraphs>66</Paragraphs>
  <ScaleCrop>false</ScaleCrop>
  <Company/>
  <LinksUpToDate>false</LinksUpToDate>
  <CharactersWithSpaces>33240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Mauricio Hernandez Beltran</dc:creator>
  <cp:lastModifiedBy>Mauricio Hernandez Beltran</cp:lastModifiedBy>
  <cp:revision>2</cp:revision>
  <dcterms:created xsi:type="dcterms:W3CDTF">2026-05-19T15:24:00Z</dcterms:created>
  <dcterms:modified xsi:type="dcterms:W3CDTF">2026-05-19T15:24:00Z</dcterms:modified>
</cp:coreProperties>
</file>